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79F" w:rsidRDefault="00C7479F" w:rsidP="00C7479F">
      <w:pPr>
        <w:pStyle w:val="Title"/>
        <w:ind w:firstLine="720"/>
        <w:jc w:val="left"/>
        <w:rPr>
          <w:rFonts w:asciiTheme="minorHAnsi" w:hAnsiTheme="minorHAnsi" w:cs="Arial"/>
          <w:sz w:val="28"/>
          <w:szCs w:val="28"/>
        </w:rPr>
      </w:pPr>
    </w:p>
    <w:p w:rsidR="00C7479F" w:rsidRPr="00F12C18" w:rsidRDefault="00C7479F" w:rsidP="00C7479F">
      <w:pPr>
        <w:pStyle w:val="Title"/>
        <w:ind w:firstLine="720"/>
        <w:jc w:val="left"/>
        <w:rPr>
          <w:rFonts w:asciiTheme="minorHAnsi" w:hAnsiTheme="minorHAnsi" w:cs="Arial"/>
          <w:sz w:val="28"/>
          <w:szCs w:val="28"/>
        </w:rPr>
      </w:pPr>
      <w:r w:rsidRPr="00F12C18">
        <w:rPr>
          <w:rFonts w:asciiTheme="minorHAnsi" w:hAnsiTheme="minorHAnsi" w:cs="Arial"/>
          <w:sz w:val="28"/>
          <w:szCs w:val="28"/>
        </w:rPr>
        <w:t>WATERFORD CITY &amp; COUNTY COUNCIL</w:t>
      </w:r>
      <w:r w:rsidR="00C0094A">
        <w:rPr>
          <w:rFonts w:asciiTheme="minorHAnsi" w:hAnsiTheme="minorHAnsi" w:cs="Arial"/>
          <w:sz w:val="28"/>
          <w:szCs w:val="28"/>
        </w:rPr>
        <w:t xml:space="preserve"> REVISED</w:t>
      </w:r>
      <w:r w:rsidRPr="00F12C18">
        <w:rPr>
          <w:rFonts w:asciiTheme="minorHAnsi" w:hAnsiTheme="minorHAnsi" w:cs="Arial"/>
          <w:sz w:val="28"/>
          <w:szCs w:val="28"/>
        </w:rPr>
        <w:t xml:space="preserve"> RENTS SCHEME </w:t>
      </w:r>
      <w:r w:rsidRPr="00C0094A">
        <w:rPr>
          <w:rFonts w:asciiTheme="minorHAnsi" w:hAnsiTheme="minorHAnsi" w:cs="Arial"/>
          <w:sz w:val="28"/>
          <w:szCs w:val="28"/>
        </w:rPr>
        <w:t>2020</w:t>
      </w:r>
    </w:p>
    <w:p w:rsidR="00C7479F" w:rsidRPr="00F12C18" w:rsidRDefault="00C7479F" w:rsidP="00C7479F">
      <w:pPr>
        <w:tabs>
          <w:tab w:val="left" w:pos="1273"/>
        </w:tabs>
        <w:rPr>
          <w:noProof/>
          <w:lang w:eastAsia="en-IE"/>
        </w:rPr>
      </w:pPr>
    </w:p>
    <w:p w:rsidR="00C7479F" w:rsidRPr="00F12C18" w:rsidRDefault="00C7479F" w:rsidP="00C7479F">
      <w:pPr>
        <w:pStyle w:val="Default"/>
        <w:rPr>
          <w:rFonts w:asciiTheme="minorHAnsi" w:hAnsiTheme="minorHAnsi"/>
          <w:sz w:val="22"/>
          <w:szCs w:val="22"/>
        </w:rPr>
      </w:pPr>
      <w:r w:rsidRPr="00F12C18">
        <w:rPr>
          <w:rFonts w:asciiTheme="minorHAnsi" w:hAnsiTheme="minorHAnsi"/>
          <w:noProof/>
          <w:sz w:val="22"/>
          <w:szCs w:val="22"/>
          <w:lang w:eastAsia="en-IE"/>
        </w:rPr>
        <w:t xml:space="preserve">This scheme will apply with effect from </w:t>
      </w:r>
      <w:r w:rsidRPr="00C0094A">
        <w:rPr>
          <w:rFonts w:asciiTheme="minorHAnsi" w:hAnsiTheme="minorHAnsi"/>
          <w:b/>
          <w:bCs/>
          <w:noProof/>
          <w:sz w:val="22"/>
          <w:szCs w:val="22"/>
          <w:lang w:eastAsia="en-IE"/>
        </w:rPr>
        <w:t>Monday</w:t>
      </w:r>
      <w:r w:rsidR="00FE1547">
        <w:rPr>
          <w:rFonts w:asciiTheme="minorHAnsi" w:hAnsiTheme="minorHAnsi"/>
          <w:b/>
          <w:bCs/>
          <w:noProof/>
          <w:sz w:val="22"/>
          <w:szCs w:val="22"/>
          <w:lang w:eastAsia="en-IE"/>
        </w:rPr>
        <w:t xml:space="preserve"> </w:t>
      </w:r>
      <w:r w:rsidRPr="00C0094A">
        <w:rPr>
          <w:rFonts w:asciiTheme="minorHAnsi" w:hAnsiTheme="minorHAnsi"/>
          <w:b/>
          <w:bCs/>
          <w:noProof/>
          <w:sz w:val="22"/>
          <w:szCs w:val="22"/>
          <w:lang w:eastAsia="en-IE"/>
        </w:rPr>
        <w:t xml:space="preserve"> 1</w:t>
      </w:r>
      <w:r w:rsidR="00C0094A">
        <w:rPr>
          <w:rFonts w:asciiTheme="minorHAnsi" w:hAnsiTheme="minorHAnsi"/>
          <w:b/>
          <w:bCs/>
          <w:noProof/>
          <w:sz w:val="22"/>
          <w:szCs w:val="22"/>
          <w:lang w:eastAsia="en-IE"/>
        </w:rPr>
        <w:t>7</w:t>
      </w:r>
      <w:r w:rsidRPr="00C0094A">
        <w:rPr>
          <w:rFonts w:asciiTheme="minorHAnsi" w:hAnsiTheme="minorHAnsi"/>
          <w:b/>
          <w:bCs/>
          <w:noProof/>
          <w:sz w:val="22"/>
          <w:szCs w:val="22"/>
          <w:lang w:eastAsia="en-IE"/>
        </w:rPr>
        <w:t xml:space="preserve">th </w:t>
      </w:r>
      <w:r w:rsidR="00C0094A">
        <w:rPr>
          <w:rFonts w:asciiTheme="minorHAnsi" w:hAnsiTheme="minorHAnsi"/>
          <w:b/>
          <w:bCs/>
          <w:noProof/>
          <w:sz w:val="22"/>
          <w:szCs w:val="22"/>
          <w:lang w:eastAsia="en-IE"/>
        </w:rPr>
        <w:t>MAY</w:t>
      </w:r>
      <w:r w:rsidRPr="00C0094A">
        <w:rPr>
          <w:rFonts w:asciiTheme="minorHAnsi" w:hAnsiTheme="minorHAnsi"/>
          <w:b/>
          <w:bCs/>
          <w:noProof/>
          <w:sz w:val="22"/>
          <w:szCs w:val="22"/>
          <w:lang w:eastAsia="en-IE"/>
        </w:rPr>
        <w:t xml:space="preserve"> 202</w:t>
      </w:r>
      <w:r w:rsidR="00C0094A">
        <w:rPr>
          <w:rFonts w:asciiTheme="minorHAnsi" w:hAnsiTheme="minorHAnsi"/>
          <w:b/>
          <w:bCs/>
          <w:noProof/>
          <w:sz w:val="22"/>
          <w:szCs w:val="22"/>
          <w:lang w:eastAsia="en-IE"/>
        </w:rPr>
        <w:t>1</w:t>
      </w:r>
      <w:r w:rsidRPr="00F12C18">
        <w:rPr>
          <w:rFonts w:asciiTheme="minorHAnsi" w:hAnsiTheme="minorHAnsi"/>
          <w:noProof/>
          <w:sz w:val="22"/>
          <w:szCs w:val="22"/>
          <w:lang w:eastAsia="en-IE"/>
        </w:rPr>
        <w:t xml:space="preserve"> and supersedes all existing fixed &amp; differential rent schemes in Waterford City &amp; County.</w:t>
      </w:r>
      <w:r w:rsidRPr="00F12C18">
        <w:rPr>
          <w:rFonts w:asciiTheme="minorHAnsi" w:hAnsiTheme="minorHAnsi"/>
          <w:sz w:val="22"/>
          <w:szCs w:val="22"/>
        </w:rPr>
        <w:t xml:space="preserve"> </w:t>
      </w:r>
    </w:p>
    <w:p w:rsidR="00C7479F" w:rsidRPr="00F12C18" w:rsidRDefault="00C7479F" w:rsidP="00C7479F">
      <w:pPr>
        <w:pStyle w:val="Default"/>
        <w:rPr>
          <w:rFonts w:asciiTheme="minorHAnsi" w:hAnsiTheme="minorHAnsi"/>
          <w:sz w:val="22"/>
          <w:szCs w:val="22"/>
        </w:rPr>
      </w:pPr>
    </w:p>
    <w:p w:rsidR="00C7479F" w:rsidRPr="00F12C18" w:rsidRDefault="00C7479F" w:rsidP="00C7479F">
      <w:pPr>
        <w:pStyle w:val="NoSpacing"/>
        <w:rPr>
          <w:i/>
          <w:noProof/>
          <w:color w:val="FF0000"/>
          <w:lang w:eastAsia="en-IE"/>
        </w:rPr>
      </w:pPr>
      <w:r w:rsidRPr="00F12C18">
        <w:t xml:space="preserve"> The scheme will apply to all of the Council’s tenants including tenants in RAS, HAP and Long-Term Leased properties</w:t>
      </w:r>
      <w:r w:rsidRPr="00F12C18">
        <w:rPr>
          <w:sz w:val="23"/>
          <w:szCs w:val="23"/>
        </w:rPr>
        <w:t xml:space="preserve">. </w:t>
      </w:r>
      <w:r w:rsidRPr="00F12C18">
        <w:rPr>
          <w:i/>
          <w:sz w:val="23"/>
          <w:szCs w:val="23"/>
        </w:rPr>
        <w:t xml:space="preserve"> </w:t>
      </w:r>
    </w:p>
    <w:p w:rsidR="00C7479F" w:rsidRPr="00F12C18" w:rsidRDefault="00C7479F" w:rsidP="00C7479F">
      <w:pPr>
        <w:pStyle w:val="NoSpacing"/>
        <w:rPr>
          <w:noProof/>
          <w:lang w:eastAsia="en-IE"/>
        </w:rPr>
      </w:pPr>
    </w:p>
    <w:p w:rsidR="00C7479F" w:rsidRPr="00F12C18" w:rsidRDefault="00C7479F" w:rsidP="00C7479F">
      <w:pPr>
        <w:pStyle w:val="Default"/>
        <w:spacing w:after="34"/>
        <w:rPr>
          <w:sz w:val="22"/>
          <w:szCs w:val="22"/>
        </w:rPr>
      </w:pPr>
      <w:r w:rsidRPr="00F12C18">
        <w:rPr>
          <w:sz w:val="22"/>
          <w:szCs w:val="22"/>
        </w:rPr>
        <w:t xml:space="preserve">• </w:t>
      </w:r>
      <w:r w:rsidRPr="00F12C18">
        <w:rPr>
          <w:b/>
          <w:bCs/>
          <w:sz w:val="22"/>
          <w:szCs w:val="22"/>
        </w:rPr>
        <w:t xml:space="preserve">Principal Earner </w:t>
      </w:r>
      <w:r w:rsidRPr="00F12C18">
        <w:rPr>
          <w:sz w:val="22"/>
          <w:szCs w:val="22"/>
        </w:rPr>
        <w:t xml:space="preserve">– is the adult person, either the tenant or any other adult normally resident in the household, who is in receipt of the highest assessable income within the household. </w:t>
      </w:r>
    </w:p>
    <w:p w:rsidR="00C7479F" w:rsidRPr="00F12C18" w:rsidRDefault="00C7479F" w:rsidP="00C7479F">
      <w:pPr>
        <w:pStyle w:val="Default"/>
        <w:rPr>
          <w:sz w:val="22"/>
          <w:szCs w:val="22"/>
        </w:rPr>
      </w:pPr>
      <w:r w:rsidRPr="00F12C18">
        <w:rPr>
          <w:sz w:val="22"/>
          <w:szCs w:val="22"/>
        </w:rPr>
        <w:t xml:space="preserve">. </w:t>
      </w:r>
    </w:p>
    <w:p w:rsidR="00C7479F" w:rsidRPr="00F12C18" w:rsidRDefault="00C7479F" w:rsidP="00C7479F">
      <w:pPr>
        <w:pStyle w:val="Default"/>
        <w:rPr>
          <w:color w:val="FF0000"/>
          <w:sz w:val="22"/>
          <w:szCs w:val="22"/>
        </w:rPr>
      </w:pPr>
      <w:r w:rsidRPr="00F12C18">
        <w:rPr>
          <w:sz w:val="22"/>
          <w:szCs w:val="22"/>
        </w:rPr>
        <w:t xml:space="preserve">• </w:t>
      </w:r>
      <w:r w:rsidRPr="00F12C18">
        <w:rPr>
          <w:b/>
          <w:bCs/>
          <w:sz w:val="22"/>
          <w:szCs w:val="22"/>
        </w:rPr>
        <w:t xml:space="preserve">Subsidiary Earner </w:t>
      </w:r>
      <w:r w:rsidRPr="00F12C18">
        <w:rPr>
          <w:sz w:val="22"/>
          <w:szCs w:val="22"/>
        </w:rPr>
        <w:t xml:space="preserve">– is any other adult member of the household, other than the principal earner, who has an income. </w:t>
      </w:r>
    </w:p>
    <w:p w:rsidR="00C7479F" w:rsidRPr="00F12C18" w:rsidRDefault="00C7479F" w:rsidP="00C7479F">
      <w:pPr>
        <w:pStyle w:val="Default"/>
        <w:spacing w:after="34"/>
        <w:rPr>
          <w:sz w:val="22"/>
          <w:szCs w:val="22"/>
        </w:rPr>
      </w:pPr>
    </w:p>
    <w:p w:rsidR="00C7479F" w:rsidRPr="00F12C18" w:rsidRDefault="00C7479F" w:rsidP="00C7479F">
      <w:pPr>
        <w:pStyle w:val="NoSpacing"/>
        <w:numPr>
          <w:ilvl w:val="0"/>
          <w:numId w:val="1"/>
        </w:numPr>
        <w:rPr>
          <w:noProof/>
          <w:lang w:eastAsia="en-IE"/>
        </w:rPr>
      </w:pPr>
      <w:r w:rsidRPr="00F12C18">
        <w:rPr>
          <w:b/>
          <w:noProof/>
          <w:lang w:eastAsia="en-IE"/>
        </w:rPr>
        <w:t xml:space="preserve">CALCULATION OF RENT </w:t>
      </w:r>
    </w:p>
    <w:p w:rsidR="00C7479F" w:rsidRPr="00F12C18" w:rsidRDefault="00C7479F" w:rsidP="00C7479F">
      <w:pPr>
        <w:pStyle w:val="NoSpacing"/>
        <w:ind w:left="360"/>
      </w:pPr>
      <w:r w:rsidRPr="00F12C18">
        <w:rPr>
          <w:noProof/>
          <w:lang w:eastAsia="en-IE"/>
        </w:rPr>
        <w:t xml:space="preserve">Differential rent will be </w:t>
      </w:r>
      <w:r w:rsidRPr="00F12C18">
        <w:t xml:space="preserve">calculated based on a percentage of the assessable income of the </w:t>
      </w:r>
      <w:r w:rsidRPr="00F12C18">
        <w:rPr>
          <w:bCs/>
        </w:rPr>
        <w:t xml:space="preserve">principal earner </w:t>
      </w:r>
      <w:r w:rsidRPr="00F12C18">
        <w:t xml:space="preserve">and on a percentage of the assessable income of any </w:t>
      </w:r>
      <w:r w:rsidRPr="00F12C18">
        <w:rPr>
          <w:bCs/>
        </w:rPr>
        <w:t xml:space="preserve">subsidiary earner(s) </w:t>
      </w:r>
      <w:r w:rsidRPr="00F12C18">
        <w:t xml:space="preserve">in the household. </w:t>
      </w:r>
    </w:p>
    <w:p w:rsidR="00C7479F" w:rsidRPr="00F12C18" w:rsidRDefault="00C7479F" w:rsidP="00C7479F">
      <w:pPr>
        <w:pStyle w:val="NoSpacing"/>
        <w:rPr>
          <w:b/>
        </w:rPr>
      </w:pPr>
    </w:p>
    <w:p w:rsidR="00C7479F" w:rsidRPr="00F12C18" w:rsidRDefault="00C7479F" w:rsidP="00C7479F">
      <w:pPr>
        <w:pStyle w:val="NoSpacing"/>
        <w:ind w:firstLine="360"/>
        <w:rPr>
          <w:b/>
        </w:rPr>
      </w:pPr>
      <w:r w:rsidRPr="00F12C18">
        <w:rPr>
          <w:b/>
        </w:rPr>
        <w:t xml:space="preserve">Principal Earners Calculation  </w:t>
      </w:r>
    </w:p>
    <w:p w:rsidR="00C7479F" w:rsidRPr="00F12C18" w:rsidRDefault="00C7479F" w:rsidP="00C7479F">
      <w:pPr>
        <w:pStyle w:val="NoSpacing"/>
        <w:ind w:left="360"/>
      </w:pPr>
      <w:r w:rsidRPr="00F12C18">
        <w:t xml:space="preserve">The principal earner’s calculation will be based on the actual assessable income and the relevant percentage based on the income ranges in table 1. </w:t>
      </w:r>
    </w:p>
    <w:p w:rsidR="00C7479F" w:rsidRPr="00F12C18" w:rsidRDefault="00C7479F" w:rsidP="00C7479F">
      <w:pPr>
        <w:pStyle w:val="Default"/>
        <w:rPr>
          <w:sz w:val="22"/>
          <w:szCs w:val="22"/>
        </w:rPr>
      </w:pPr>
    </w:p>
    <w:p w:rsidR="00C7479F" w:rsidRPr="00F12C18" w:rsidRDefault="00C7479F" w:rsidP="00C7479F">
      <w:pPr>
        <w:pStyle w:val="Default"/>
        <w:rPr>
          <w:sz w:val="22"/>
          <w:szCs w:val="22"/>
        </w:rPr>
      </w:pPr>
      <w:r w:rsidRPr="00F12C18">
        <w:rPr>
          <w:sz w:val="22"/>
          <w:szCs w:val="22"/>
        </w:rPr>
        <w:t xml:space="preserve">Table 1 below shows income bands, and the percentage (%) to be applied based on the principal earners assessable income. </w:t>
      </w:r>
    </w:p>
    <w:p w:rsidR="00C7479F" w:rsidRPr="00F12C18" w:rsidRDefault="00C7479F" w:rsidP="00C7479F">
      <w:pPr>
        <w:pStyle w:val="Default"/>
        <w:rPr>
          <w:sz w:val="22"/>
          <w:szCs w:val="22"/>
        </w:rPr>
      </w:pPr>
    </w:p>
    <w:p w:rsidR="00C7479F" w:rsidRPr="00F12C18" w:rsidRDefault="00C7479F" w:rsidP="00C7479F">
      <w:pPr>
        <w:pStyle w:val="Default"/>
        <w:rPr>
          <w:sz w:val="22"/>
          <w:szCs w:val="22"/>
        </w:rPr>
      </w:pPr>
      <w:r w:rsidRPr="00F12C18">
        <w:rPr>
          <w:sz w:val="22"/>
          <w:szCs w:val="22"/>
        </w:rPr>
        <w:t>Table 1</w:t>
      </w:r>
    </w:p>
    <w:p w:rsidR="00C7479F" w:rsidRPr="00F12C18" w:rsidRDefault="00C7479F" w:rsidP="00C7479F">
      <w:pPr>
        <w:pStyle w:val="Default"/>
        <w:rPr>
          <w:sz w:val="22"/>
          <w:szCs w:val="22"/>
        </w:rPr>
      </w:pPr>
    </w:p>
    <w:tbl>
      <w:tblPr>
        <w:tblStyle w:val="LightList-Accent1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0"/>
        <w:gridCol w:w="2420"/>
      </w:tblGrid>
      <w:tr w:rsidR="00C7479F" w:rsidRPr="00F12C18" w:rsidTr="00C0094A">
        <w:trPr>
          <w:cnfStyle w:val="100000000000"/>
          <w:trHeight w:val="300"/>
          <w:jc w:val="center"/>
        </w:trPr>
        <w:tc>
          <w:tcPr>
            <w:cnfStyle w:val="001000000000"/>
            <w:tcW w:w="1840" w:type="dxa"/>
            <w:noWrap/>
            <w:hideMark/>
          </w:tcPr>
          <w:p w:rsidR="00C7479F" w:rsidRPr="00F12C18" w:rsidRDefault="00C7479F" w:rsidP="00C0094A">
            <w:pPr>
              <w:pStyle w:val="NoSpacing"/>
              <w:rPr>
                <w:rFonts w:ascii="Calibri" w:hAnsi="Calibri"/>
                <w:sz w:val="20"/>
                <w:szCs w:val="20"/>
              </w:rPr>
            </w:pPr>
            <w:r w:rsidRPr="00F12C18">
              <w:rPr>
                <w:rFonts w:ascii="Calibri" w:hAnsi="Calibri"/>
                <w:sz w:val="20"/>
                <w:szCs w:val="20"/>
              </w:rPr>
              <w:t>Income Range</w:t>
            </w:r>
          </w:p>
        </w:tc>
        <w:tc>
          <w:tcPr>
            <w:tcW w:w="2420" w:type="dxa"/>
            <w:noWrap/>
            <w:hideMark/>
          </w:tcPr>
          <w:p w:rsidR="00C7479F" w:rsidRPr="00F12C18" w:rsidRDefault="00C7479F" w:rsidP="00C0094A">
            <w:pPr>
              <w:pStyle w:val="NoSpacing"/>
              <w:cnfStyle w:val="100000000000"/>
              <w:rPr>
                <w:rFonts w:ascii="Calibri" w:hAnsi="Calibri"/>
                <w:sz w:val="20"/>
                <w:szCs w:val="20"/>
              </w:rPr>
            </w:pPr>
            <w:r w:rsidRPr="00F12C18">
              <w:rPr>
                <w:rFonts w:ascii="Calibri" w:hAnsi="Calibri"/>
                <w:sz w:val="20"/>
                <w:szCs w:val="20"/>
              </w:rPr>
              <w:t>Proposed Rent based on % of principal earners income</w:t>
            </w:r>
          </w:p>
        </w:tc>
      </w:tr>
      <w:tr w:rsidR="00C7479F" w:rsidRPr="00F12C18" w:rsidTr="00C0094A">
        <w:trPr>
          <w:cnfStyle w:val="000000100000"/>
          <w:trHeight w:val="300"/>
          <w:jc w:val="center"/>
        </w:trPr>
        <w:tc>
          <w:tcPr>
            <w:cnfStyle w:val="001000000000"/>
            <w:tcW w:w="1840" w:type="dxa"/>
            <w:noWrap/>
            <w:hideMark/>
          </w:tcPr>
          <w:p w:rsidR="00C7479F" w:rsidRPr="00F12C18" w:rsidRDefault="00C7479F" w:rsidP="00C0094A">
            <w:pPr>
              <w:pStyle w:val="NoSpacing"/>
              <w:rPr>
                <w:rFonts w:ascii="Calibri" w:hAnsi="Calibri"/>
                <w:sz w:val="20"/>
                <w:szCs w:val="20"/>
              </w:rPr>
            </w:pPr>
            <w:r w:rsidRPr="00F12C18">
              <w:rPr>
                <w:rFonts w:ascii="Calibri" w:hAnsi="Calibri"/>
                <w:sz w:val="20"/>
                <w:szCs w:val="20"/>
              </w:rPr>
              <w:t>Up to €250</w:t>
            </w:r>
          </w:p>
        </w:tc>
        <w:tc>
          <w:tcPr>
            <w:tcW w:w="2420" w:type="dxa"/>
            <w:noWrap/>
            <w:hideMark/>
          </w:tcPr>
          <w:p w:rsidR="00C7479F" w:rsidRPr="00F12C18" w:rsidRDefault="00C7479F" w:rsidP="00C0094A">
            <w:pPr>
              <w:pStyle w:val="NoSpacing"/>
              <w:cnfStyle w:val="000000100000"/>
              <w:rPr>
                <w:rFonts w:ascii="Calibri" w:hAnsi="Calibri"/>
                <w:bCs/>
                <w:sz w:val="20"/>
                <w:szCs w:val="20"/>
              </w:rPr>
            </w:pPr>
            <w:r w:rsidRPr="00F12C18">
              <w:rPr>
                <w:rFonts w:ascii="Calibri" w:hAnsi="Calibri"/>
                <w:bCs/>
                <w:sz w:val="20"/>
                <w:szCs w:val="20"/>
              </w:rPr>
              <w:t> 13</w:t>
            </w:r>
          </w:p>
        </w:tc>
      </w:tr>
      <w:tr w:rsidR="00C7479F" w:rsidRPr="00F12C18" w:rsidTr="00C0094A">
        <w:trPr>
          <w:trHeight w:val="300"/>
          <w:jc w:val="center"/>
        </w:trPr>
        <w:tc>
          <w:tcPr>
            <w:cnfStyle w:val="001000000000"/>
            <w:tcW w:w="1840" w:type="dxa"/>
            <w:noWrap/>
            <w:hideMark/>
          </w:tcPr>
          <w:p w:rsidR="00C7479F" w:rsidRPr="00F12C18" w:rsidRDefault="00C7479F" w:rsidP="00C0094A">
            <w:pPr>
              <w:pStyle w:val="NoSpacing"/>
              <w:rPr>
                <w:rFonts w:ascii="Calibri" w:hAnsi="Calibri"/>
                <w:sz w:val="20"/>
                <w:szCs w:val="20"/>
              </w:rPr>
            </w:pPr>
            <w:r w:rsidRPr="00F12C18">
              <w:rPr>
                <w:rFonts w:ascii="Calibri" w:hAnsi="Calibri"/>
                <w:sz w:val="20"/>
                <w:szCs w:val="20"/>
              </w:rPr>
              <w:t>€251 - €350</w:t>
            </w:r>
          </w:p>
        </w:tc>
        <w:tc>
          <w:tcPr>
            <w:tcW w:w="2420" w:type="dxa"/>
            <w:noWrap/>
            <w:hideMark/>
          </w:tcPr>
          <w:p w:rsidR="00C7479F" w:rsidRPr="00F12C18" w:rsidRDefault="00C7479F" w:rsidP="00C0094A">
            <w:pPr>
              <w:pStyle w:val="NoSpacing"/>
              <w:cnfStyle w:val="000000000000"/>
              <w:rPr>
                <w:rFonts w:ascii="Calibri" w:hAnsi="Calibri"/>
                <w:sz w:val="20"/>
                <w:szCs w:val="20"/>
              </w:rPr>
            </w:pPr>
            <w:r w:rsidRPr="00F12C18">
              <w:rPr>
                <w:rFonts w:ascii="Calibri" w:hAnsi="Calibri"/>
                <w:sz w:val="20"/>
                <w:szCs w:val="20"/>
              </w:rPr>
              <w:t>14</w:t>
            </w:r>
          </w:p>
        </w:tc>
      </w:tr>
      <w:tr w:rsidR="00C7479F" w:rsidRPr="00F12C18" w:rsidTr="00C0094A">
        <w:trPr>
          <w:cnfStyle w:val="000000100000"/>
          <w:trHeight w:val="300"/>
          <w:jc w:val="center"/>
        </w:trPr>
        <w:tc>
          <w:tcPr>
            <w:cnfStyle w:val="001000000000"/>
            <w:tcW w:w="1840" w:type="dxa"/>
            <w:noWrap/>
            <w:hideMark/>
          </w:tcPr>
          <w:p w:rsidR="00C7479F" w:rsidRPr="00F12C18" w:rsidRDefault="00C7479F" w:rsidP="00C0094A">
            <w:pPr>
              <w:pStyle w:val="NoSpacing"/>
              <w:rPr>
                <w:rFonts w:ascii="Calibri" w:hAnsi="Calibri"/>
                <w:sz w:val="20"/>
                <w:szCs w:val="20"/>
              </w:rPr>
            </w:pPr>
            <w:r w:rsidRPr="00F12C18">
              <w:rPr>
                <w:rFonts w:ascii="Calibri" w:hAnsi="Calibri"/>
                <w:sz w:val="20"/>
                <w:szCs w:val="20"/>
              </w:rPr>
              <w:t>€351 - €425</w:t>
            </w:r>
          </w:p>
        </w:tc>
        <w:tc>
          <w:tcPr>
            <w:tcW w:w="2420" w:type="dxa"/>
            <w:noWrap/>
            <w:hideMark/>
          </w:tcPr>
          <w:p w:rsidR="00C7479F" w:rsidRPr="00F12C18" w:rsidRDefault="00C7479F" w:rsidP="00C0094A">
            <w:pPr>
              <w:pStyle w:val="NoSpacing"/>
              <w:cnfStyle w:val="000000100000"/>
              <w:rPr>
                <w:rFonts w:ascii="Calibri" w:hAnsi="Calibri"/>
                <w:sz w:val="20"/>
                <w:szCs w:val="20"/>
              </w:rPr>
            </w:pPr>
            <w:r w:rsidRPr="00F12C18">
              <w:rPr>
                <w:rFonts w:ascii="Calibri" w:hAnsi="Calibri"/>
                <w:sz w:val="20"/>
                <w:szCs w:val="20"/>
              </w:rPr>
              <w:t>15</w:t>
            </w:r>
          </w:p>
        </w:tc>
      </w:tr>
      <w:tr w:rsidR="00C7479F" w:rsidRPr="00F12C18" w:rsidTr="00C0094A">
        <w:trPr>
          <w:trHeight w:val="300"/>
          <w:jc w:val="center"/>
        </w:trPr>
        <w:tc>
          <w:tcPr>
            <w:cnfStyle w:val="001000000000"/>
            <w:tcW w:w="1840" w:type="dxa"/>
            <w:noWrap/>
            <w:hideMark/>
          </w:tcPr>
          <w:p w:rsidR="00C7479F" w:rsidRPr="00F12C18" w:rsidRDefault="00C7479F" w:rsidP="00C0094A">
            <w:pPr>
              <w:pStyle w:val="NoSpacing"/>
              <w:rPr>
                <w:rFonts w:ascii="Calibri" w:hAnsi="Calibri"/>
                <w:sz w:val="20"/>
                <w:szCs w:val="20"/>
              </w:rPr>
            </w:pPr>
            <w:r w:rsidRPr="00F12C18">
              <w:rPr>
                <w:rFonts w:ascii="Calibri" w:hAnsi="Calibri"/>
                <w:sz w:val="20"/>
                <w:szCs w:val="20"/>
              </w:rPr>
              <w:t>€426 - €599</w:t>
            </w:r>
          </w:p>
        </w:tc>
        <w:tc>
          <w:tcPr>
            <w:tcW w:w="2420" w:type="dxa"/>
            <w:noWrap/>
            <w:hideMark/>
          </w:tcPr>
          <w:p w:rsidR="00C7479F" w:rsidRPr="00F12C18" w:rsidRDefault="00C7479F" w:rsidP="00C0094A">
            <w:pPr>
              <w:pStyle w:val="NoSpacing"/>
              <w:cnfStyle w:val="000000000000"/>
              <w:rPr>
                <w:rFonts w:ascii="Calibri" w:hAnsi="Calibri"/>
                <w:sz w:val="20"/>
                <w:szCs w:val="20"/>
              </w:rPr>
            </w:pPr>
            <w:r w:rsidRPr="00F12C18">
              <w:rPr>
                <w:rFonts w:ascii="Calibri" w:hAnsi="Calibri"/>
                <w:sz w:val="20"/>
                <w:szCs w:val="20"/>
              </w:rPr>
              <w:t>16</w:t>
            </w:r>
          </w:p>
        </w:tc>
      </w:tr>
      <w:tr w:rsidR="00C7479F" w:rsidRPr="00F12C18" w:rsidTr="00C0094A">
        <w:trPr>
          <w:cnfStyle w:val="000000100000"/>
          <w:trHeight w:val="300"/>
          <w:jc w:val="center"/>
        </w:trPr>
        <w:tc>
          <w:tcPr>
            <w:cnfStyle w:val="001000000000"/>
            <w:tcW w:w="1840" w:type="dxa"/>
            <w:noWrap/>
            <w:hideMark/>
          </w:tcPr>
          <w:p w:rsidR="00C7479F" w:rsidRPr="00F12C18" w:rsidRDefault="00C7479F" w:rsidP="00C0094A">
            <w:pPr>
              <w:pStyle w:val="NoSpacing"/>
              <w:rPr>
                <w:rFonts w:ascii="Calibri" w:hAnsi="Calibri"/>
                <w:sz w:val="20"/>
                <w:szCs w:val="20"/>
              </w:rPr>
            </w:pPr>
            <w:r w:rsidRPr="00F12C18">
              <w:rPr>
                <w:rFonts w:ascii="Calibri" w:hAnsi="Calibri"/>
                <w:sz w:val="20"/>
                <w:szCs w:val="20"/>
              </w:rPr>
              <w:t>€600 - €699</w:t>
            </w:r>
          </w:p>
        </w:tc>
        <w:tc>
          <w:tcPr>
            <w:tcW w:w="2420" w:type="dxa"/>
            <w:noWrap/>
            <w:hideMark/>
          </w:tcPr>
          <w:p w:rsidR="00C7479F" w:rsidRPr="00F12C18" w:rsidRDefault="00C7479F" w:rsidP="00C0094A">
            <w:pPr>
              <w:pStyle w:val="NoSpacing"/>
              <w:cnfStyle w:val="000000100000"/>
              <w:rPr>
                <w:rFonts w:ascii="Calibri" w:hAnsi="Calibri"/>
                <w:sz w:val="20"/>
                <w:szCs w:val="20"/>
              </w:rPr>
            </w:pPr>
            <w:r w:rsidRPr="00F12C18">
              <w:rPr>
                <w:rFonts w:ascii="Calibri" w:hAnsi="Calibri"/>
                <w:sz w:val="20"/>
                <w:szCs w:val="20"/>
              </w:rPr>
              <w:t>18</w:t>
            </w:r>
          </w:p>
        </w:tc>
      </w:tr>
      <w:tr w:rsidR="00C7479F" w:rsidRPr="00F12C18" w:rsidTr="00C0094A">
        <w:trPr>
          <w:trHeight w:val="300"/>
          <w:jc w:val="center"/>
        </w:trPr>
        <w:tc>
          <w:tcPr>
            <w:cnfStyle w:val="001000000000"/>
            <w:tcW w:w="1840" w:type="dxa"/>
            <w:noWrap/>
            <w:hideMark/>
          </w:tcPr>
          <w:p w:rsidR="00C7479F" w:rsidRPr="00F12C18" w:rsidRDefault="00C7479F" w:rsidP="00C0094A">
            <w:pPr>
              <w:pStyle w:val="NoSpacing"/>
              <w:rPr>
                <w:rFonts w:ascii="Calibri" w:hAnsi="Calibri"/>
                <w:sz w:val="20"/>
                <w:szCs w:val="20"/>
              </w:rPr>
            </w:pPr>
            <w:r w:rsidRPr="00F12C18">
              <w:rPr>
                <w:rFonts w:ascii="Calibri" w:hAnsi="Calibri"/>
                <w:sz w:val="20"/>
                <w:szCs w:val="20"/>
              </w:rPr>
              <w:t>€700  - or more</w:t>
            </w:r>
          </w:p>
        </w:tc>
        <w:tc>
          <w:tcPr>
            <w:tcW w:w="2420" w:type="dxa"/>
            <w:noWrap/>
            <w:hideMark/>
          </w:tcPr>
          <w:p w:rsidR="00C7479F" w:rsidRPr="00F12C18" w:rsidRDefault="00C7479F" w:rsidP="00C0094A">
            <w:pPr>
              <w:pStyle w:val="NoSpacing"/>
              <w:cnfStyle w:val="000000000000"/>
              <w:rPr>
                <w:rFonts w:ascii="Calibri" w:hAnsi="Calibri"/>
                <w:sz w:val="20"/>
                <w:szCs w:val="20"/>
              </w:rPr>
            </w:pPr>
            <w:r w:rsidRPr="00F12C18">
              <w:rPr>
                <w:rFonts w:ascii="Calibri" w:hAnsi="Calibri"/>
                <w:sz w:val="20"/>
                <w:szCs w:val="20"/>
              </w:rPr>
              <w:t>20</w:t>
            </w:r>
          </w:p>
        </w:tc>
      </w:tr>
    </w:tbl>
    <w:p w:rsidR="00C7479F" w:rsidRPr="00F12C18" w:rsidRDefault="00C7479F" w:rsidP="00C7479F">
      <w:pPr>
        <w:pStyle w:val="Default"/>
        <w:rPr>
          <w:sz w:val="22"/>
          <w:szCs w:val="22"/>
        </w:rPr>
      </w:pPr>
    </w:p>
    <w:p w:rsidR="00C7479F" w:rsidRPr="00F12C18" w:rsidRDefault="00C7479F" w:rsidP="00C7479F">
      <w:pPr>
        <w:pStyle w:val="Default"/>
        <w:rPr>
          <w:rFonts w:cstheme="minorBidi"/>
          <w:color w:val="auto"/>
        </w:rPr>
      </w:pPr>
    </w:p>
    <w:tbl>
      <w:tblPr>
        <w:tblW w:w="0" w:type="auto"/>
        <w:tblBorders>
          <w:top w:val="nil"/>
          <w:left w:val="nil"/>
          <w:bottom w:val="nil"/>
          <w:right w:val="nil"/>
        </w:tblBorders>
        <w:tblLayout w:type="fixed"/>
        <w:tblLook w:val="0000"/>
      </w:tblPr>
      <w:tblGrid>
        <w:gridCol w:w="2024"/>
        <w:gridCol w:w="2024"/>
      </w:tblGrid>
      <w:tr w:rsidR="00C7479F" w:rsidRPr="00F12C18" w:rsidTr="00C0094A">
        <w:trPr>
          <w:trHeight w:val="347"/>
        </w:trPr>
        <w:tc>
          <w:tcPr>
            <w:tcW w:w="2024" w:type="dxa"/>
            <w:tcBorders>
              <w:top w:val="nil"/>
              <w:left w:val="nil"/>
            </w:tcBorders>
          </w:tcPr>
          <w:p w:rsidR="00C7479F" w:rsidRPr="00F12C18" w:rsidRDefault="00C7479F" w:rsidP="00C0094A">
            <w:pPr>
              <w:pStyle w:val="Default"/>
              <w:rPr>
                <w:b/>
                <w:bCs/>
                <w:color w:val="auto"/>
                <w:sz w:val="23"/>
                <w:szCs w:val="23"/>
              </w:rPr>
            </w:pPr>
          </w:p>
        </w:tc>
        <w:tc>
          <w:tcPr>
            <w:tcW w:w="2024" w:type="dxa"/>
            <w:tcBorders>
              <w:top w:val="nil"/>
              <w:right w:val="nil"/>
            </w:tcBorders>
          </w:tcPr>
          <w:p w:rsidR="00C7479F" w:rsidRPr="00F12C18" w:rsidRDefault="00C7479F" w:rsidP="00C0094A">
            <w:pPr>
              <w:pStyle w:val="Default"/>
              <w:rPr>
                <w:b/>
                <w:bCs/>
                <w:sz w:val="20"/>
                <w:szCs w:val="20"/>
              </w:rPr>
            </w:pPr>
          </w:p>
        </w:tc>
      </w:tr>
      <w:tr w:rsidR="00C7479F" w:rsidRPr="00F12C18" w:rsidTr="00C0094A">
        <w:trPr>
          <w:trHeight w:val="347"/>
        </w:trPr>
        <w:tc>
          <w:tcPr>
            <w:tcW w:w="2024" w:type="dxa"/>
            <w:tcBorders>
              <w:left w:val="nil"/>
            </w:tcBorders>
          </w:tcPr>
          <w:p w:rsidR="00C7479F" w:rsidRPr="00F12C18" w:rsidRDefault="00C7479F" w:rsidP="00C0094A">
            <w:pPr>
              <w:pStyle w:val="Default"/>
              <w:rPr>
                <w:b/>
                <w:bCs/>
                <w:color w:val="auto"/>
                <w:sz w:val="23"/>
                <w:szCs w:val="23"/>
              </w:rPr>
            </w:pPr>
          </w:p>
        </w:tc>
        <w:tc>
          <w:tcPr>
            <w:tcW w:w="2024" w:type="dxa"/>
            <w:tcBorders>
              <w:right w:val="nil"/>
            </w:tcBorders>
          </w:tcPr>
          <w:p w:rsidR="00C7479F" w:rsidRPr="00F12C18" w:rsidRDefault="00C7479F" w:rsidP="00C0094A">
            <w:pPr>
              <w:pStyle w:val="Default"/>
              <w:rPr>
                <w:b/>
                <w:bCs/>
                <w:sz w:val="20"/>
                <w:szCs w:val="20"/>
              </w:rPr>
            </w:pPr>
          </w:p>
        </w:tc>
      </w:tr>
      <w:tr w:rsidR="00C7479F" w:rsidRPr="00F12C18" w:rsidTr="00C0094A">
        <w:trPr>
          <w:trHeight w:val="347"/>
        </w:trPr>
        <w:tc>
          <w:tcPr>
            <w:tcW w:w="2024" w:type="dxa"/>
            <w:tcBorders>
              <w:left w:val="nil"/>
            </w:tcBorders>
          </w:tcPr>
          <w:p w:rsidR="00C7479F" w:rsidRPr="00F12C18" w:rsidRDefault="00C7479F" w:rsidP="00C0094A">
            <w:pPr>
              <w:pStyle w:val="Default"/>
              <w:rPr>
                <w:b/>
                <w:bCs/>
                <w:color w:val="auto"/>
                <w:sz w:val="23"/>
                <w:szCs w:val="23"/>
              </w:rPr>
            </w:pPr>
          </w:p>
        </w:tc>
        <w:tc>
          <w:tcPr>
            <w:tcW w:w="2024" w:type="dxa"/>
            <w:tcBorders>
              <w:right w:val="nil"/>
            </w:tcBorders>
          </w:tcPr>
          <w:p w:rsidR="00C7479F" w:rsidRPr="00F12C18" w:rsidRDefault="00C7479F" w:rsidP="00C0094A">
            <w:pPr>
              <w:pStyle w:val="Default"/>
              <w:rPr>
                <w:b/>
                <w:bCs/>
                <w:sz w:val="20"/>
                <w:szCs w:val="20"/>
              </w:rPr>
            </w:pPr>
          </w:p>
        </w:tc>
      </w:tr>
      <w:tr w:rsidR="00C7479F" w:rsidRPr="00F12C18" w:rsidTr="00C0094A">
        <w:trPr>
          <w:trHeight w:val="347"/>
        </w:trPr>
        <w:tc>
          <w:tcPr>
            <w:tcW w:w="2024" w:type="dxa"/>
            <w:tcBorders>
              <w:left w:val="nil"/>
            </w:tcBorders>
          </w:tcPr>
          <w:p w:rsidR="00C7479F" w:rsidRPr="00F12C18" w:rsidRDefault="00C7479F" w:rsidP="00C0094A">
            <w:pPr>
              <w:pStyle w:val="Default"/>
              <w:rPr>
                <w:b/>
                <w:bCs/>
                <w:color w:val="auto"/>
                <w:sz w:val="23"/>
                <w:szCs w:val="23"/>
              </w:rPr>
            </w:pPr>
          </w:p>
        </w:tc>
        <w:tc>
          <w:tcPr>
            <w:tcW w:w="2024" w:type="dxa"/>
            <w:tcBorders>
              <w:right w:val="nil"/>
            </w:tcBorders>
          </w:tcPr>
          <w:p w:rsidR="00C7479F" w:rsidRPr="00F12C18" w:rsidRDefault="00C7479F" w:rsidP="00C0094A">
            <w:pPr>
              <w:pStyle w:val="Default"/>
              <w:rPr>
                <w:b/>
                <w:bCs/>
                <w:sz w:val="20"/>
                <w:szCs w:val="20"/>
              </w:rPr>
            </w:pPr>
          </w:p>
        </w:tc>
      </w:tr>
      <w:tr w:rsidR="00C7479F" w:rsidRPr="00F12C18" w:rsidTr="00C0094A">
        <w:trPr>
          <w:trHeight w:val="347"/>
        </w:trPr>
        <w:tc>
          <w:tcPr>
            <w:tcW w:w="2024" w:type="dxa"/>
            <w:tcBorders>
              <w:left w:val="nil"/>
            </w:tcBorders>
          </w:tcPr>
          <w:p w:rsidR="00C7479F" w:rsidRPr="00F12C18" w:rsidRDefault="00C7479F" w:rsidP="00C0094A">
            <w:pPr>
              <w:pStyle w:val="Default"/>
              <w:rPr>
                <w:b/>
                <w:bCs/>
                <w:color w:val="auto"/>
                <w:sz w:val="23"/>
                <w:szCs w:val="23"/>
              </w:rPr>
            </w:pPr>
          </w:p>
        </w:tc>
        <w:tc>
          <w:tcPr>
            <w:tcW w:w="2024" w:type="dxa"/>
            <w:tcBorders>
              <w:right w:val="nil"/>
            </w:tcBorders>
          </w:tcPr>
          <w:p w:rsidR="00C7479F" w:rsidRPr="00F12C18" w:rsidRDefault="00C7479F" w:rsidP="00C0094A">
            <w:pPr>
              <w:pStyle w:val="Default"/>
              <w:rPr>
                <w:b/>
                <w:bCs/>
                <w:sz w:val="20"/>
                <w:szCs w:val="20"/>
              </w:rPr>
            </w:pPr>
          </w:p>
        </w:tc>
      </w:tr>
      <w:tr w:rsidR="00C7479F" w:rsidRPr="00F12C18" w:rsidTr="00C0094A">
        <w:trPr>
          <w:trHeight w:val="347"/>
        </w:trPr>
        <w:tc>
          <w:tcPr>
            <w:tcW w:w="2024" w:type="dxa"/>
            <w:tcBorders>
              <w:left w:val="nil"/>
            </w:tcBorders>
          </w:tcPr>
          <w:p w:rsidR="00C7479F" w:rsidRPr="00F12C18" w:rsidRDefault="00C7479F" w:rsidP="00C0094A">
            <w:pPr>
              <w:pStyle w:val="Default"/>
              <w:rPr>
                <w:b/>
                <w:bCs/>
                <w:color w:val="auto"/>
                <w:sz w:val="23"/>
                <w:szCs w:val="23"/>
              </w:rPr>
            </w:pPr>
          </w:p>
        </w:tc>
        <w:tc>
          <w:tcPr>
            <w:tcW w:w="2024" w:type="dxa"/>
            <w:tcBorders>
              <w:right w:val="nil"/>
            </w:tcBorders>
          </w:tcPr>
          <w:p w:rsidR="00C7479F" w:rsidRPr="00F12C18" w:rsidRDefault="00C7479F" w:rsidP="00C0094A">
            <w:pPr>
              <w:pStyle w:val="Default"/>
              <w:rPr>
                <w:b/>
                <w:bCs/>
                <w:sz w:val="20"/>
                <w:szCs w:val="20"/>
              </w:rPr>
            </w:pPr>
          </w:p>
        </w:tc>
      </w:tr>
      <w:tr w:rsidR="00C7479F" w:rsidRPr="00F12C18" w:rsidTr="00C0094A">
        <w:trPr>
          <w:trHeight w:val="347"/>
        </w:trPr>
        <w:tc>
          <w:tcPr>
            <w:tcW w:w="2024" w:type="dxa"/>
            <w:tcBorders>
              <w:left w:val="nil"/>
            </w:tcBorders>
          </w:tcPr>
          <w:p w:rsidR="00C7479F" w:rsidRPr="00F12C18" w:rsidRDefault="00C7479F" w:rsidP="00C0094A">
            <w:pPr>
              <w:pStyle w:val="Default"/>
              <w:rPr>
                <w:b/>
                <w:bCs/>
                <w:color w:val="auto"/>
                <w:sz w:val="23"/>
                <w:szCs w:val="23"/>
              </w:rPr>
            </w:pPr>
          </w:p>
        </w:tc>
        <w:tc>
          <w:tcPr>
            <w:tcW w:w="2024" w:type="dxa"/>
            <w:tcBorders>
              <w:right w:val="nil"/>
            </w:tcBorders>
          </w:tcPr>
          <w:p w:rsidR="00C7479F" w:rsidRPr="00F12C18" w:rsidRDefault="00C7479F" w:rsidP="00C0094A">
            <w:pPr>
              <w:pStyle w:val="Default"/>
              <w:rPr>
                <w:b/>
                <w:bCs/>
                <w:sz w:val="20"/>
                <w:szCs w:val="20"/>
              </w:rPr>
            </w:pPr>
          </w:p>
        </w:tc>
      </w:tr>
    </w:tbl>
    <w:p w:rsidR="00C7479F" w:rsidRPr="00F12C18" w:rsidRDefault="00C7479F" w:rsidP="00C7479F">
      <w:pPr>
        <w:pStyle w:val="Default"/>
        <w:rPr>
          <w:sz w:val="22"/>
          <w:szCs w:val="22"/>
        </w:rPr>
      </w:pPr>
    </w:p>
    <w:p w:rsidR="00C7479F" w:rsidRPr="00F12C18" w:rsidRDefault="00C7479F" w:rsidP="00C7479F">
      <w:pPr>
        <w:pStyle w:val="NoSpacing"/>
        <w:rPr>
          <w:b/>
        </w:rPr>
      </w:pPr>
    </w:p>
    <w:p w:rsidR="00C7479F" w:rsidRPr="00F12C18" w:rsidRDefault="00C7479F" w:rsidP="00C7479F">
      <w:pPr>
        <w:pStyle w:val="NoSpacing"/>
        <w:ind w:firstLine="360"/>
        <w:rPr>
          <w:b/>
        </w:rPr>
      </w:pPr>
      <w:r w:rsidRPr="00F12C18">
        <w:rPr>
          <w:b/>
        </w:rPr>
        <w:t>Subsidiary Earner Calculation</w:t>
      </w:r>
    </w:p>
    <w:p w:rsidR="00C7479F" w:rsidRPr="00F12C18" w:rsidRDefault="00C7479F" w:rsidP="00C7479F">
      <w:pPr>
        <w:pStyle w:val="NoSpacing"/>
        <w:ind w:firstLine="360"/>
      </w:pPr>
      <w:r w:rsidRPr="00F12C18">
        <w:t xml:space="preserve">The rent charged for each subsidiary earner will be 10% of total income with no cap. </w:t>
      </w:r>
    </w:p>
    <w:p w:rsidR="00C7479F" w:rsidRPr="00F12C18" w:rsidRDefault="00C7479F" w:rsidP="00C7479F">
      <w:pPr>
        <w:pStyle w:val="NoSpacing"/>
      </w:pPr>
    </w:p>
    <w:p w:rsidR="00C7479F" w:rsidRPr="00F12C18" w:rsidRDefault="00C7479F" w:rsidP="00C7479F">
      <w:pPr>
        <w:pStyle w:val="NoSpacing"/>
        <w:ind w:firstLine="360"/>
      </w:pPr>
      <w:r w:rsidRPr="00F12C18">
        <w:t>When the rent has been calculated it will be rounded up or down to the nearest euro.</w:t>
      </w:r>
    </w:p>
    <w:p w:rsidR="00C7479F" w:rsidRPr="00F12C18" w:rsidRDefault="00C7479F" w:rsidP="00C7479F">
      <w:pPr>
        <w:pStyle w:val="ListParagraph"/>
        <w:rPr>
          <w:b/>
          <w:noProof/>
          <w:lang w:eastAsia="en-IE"/>
        </w:rPr>
      </w:pPr>
    </w:p>
    <w:p w:rsidR="00C7479F" w:rsidRPr="00F12C18" w:rsidRDefault="00C7479F" w:rsidP="00C7479F">
      <w:pPr>
        <w:pStyle w:val="ListParagraph"/>
        <w:numPr>
          <w:ilvl w:val="0"/>
          <w:numId w:val="1"/>
        </w:numPr>
        <w:rPr>
          <w:b/>
          <w:noProof/>
          <w:lang w:eastAsia="en-IE"/>
        </w:rPr>
      </w:pPr>
      <w:r w:rsidRPr="00F12C18">
        <w:rPr>
          <w:b/>
          <w:noProof/>
          <w:lang w:eastAsia="en-IE"/>
        </w:rPr>
        <w:t>ASSESSABLE INCOME</w:t>
      </w:r>
    </w:p>
    <w:p w:rsidR="00C7479F" w:rsidRPr="00F12C18" w:rsidRDefault="00C7479F" w:rsidP="00C7479F">
      <w:pPr>
        <w:pStyle w:val="ListParagraph"/>
        <w:ind w:left="360"/>
        <w:rPr>
          <w:sz w:val="24"/>
          <w:szCs w:val="24"/>
        </w:rPr>
      </w:pPr>
      <w:r w:rsidRPr="00F12C18">
        <w:rPr>
          <w:sz w:val="24"/>
          <w:szCs w:val="24"/>
        </w:rPr>
        <w:t>The definition of what constitutes “</w:t>
      </w:r>
      <w:r w:rsidRPr="00F12C18">
        <w:rPr>
          <w:b/>
          <w:bCs/>
          <w:sz w:val="24"/>
          <w:szCs w:val="24"/>
        </w:rPr>
        <w:t>reckonable income</w:t>
      </w:r>
      <w:r w:rsidRPr="00F12C18">
        <w:rPr>
          <w:sz w:val="24"/>
          <w:szCs w:val="24"/>
        </w:rPr>
        <w:t xml:space="preserve">” for differential rent purposes will be the same as that defined as “income that is assessable” as set out in </w:t>
      </w:r>
      <w:r w:rsidRPr="00F12C18">
        <w:rPr>
          <w:b/>
          <w:bCs/>
          <w:sz w:val="24"/>
          <w:szCs w:val="24"/>
        </w:rPr>
        <w:t>Section 3</w:t>
      </w:r>
      <w:r w:rsidRPr="00F12C18">
        <w:rPr>
          <w:sz w:val="24"/>
          <w:szCs w:val="24"/>
        </w:rPr>
        <w:t xml:space="preserve"> of the </w:t>
      </w:r>
      <w:bookmarkStart w:id="0" w:name="_Hlk51144455"/>
      <w:r w:rsidRPr="00F12C18">
        <w:rPr>
          <w:b/>
          <w:bCs/>
          <w:sz w:val="24"/>
          <w:szCs w:val="24"/>
        </w:rPr>
        <w:t>Household Means Policy</w:t>
      </w:r>
      <w:r w:rsidR="00A72AD8">
        <w:rPr>
          <w:b/>
          <w:bCs/>
          <w:sz w:val="24"/>
          <w:szCs w:val="24"/>
        </w:rPr>
        <w:t xml:space="preserve"> </w:t>
      </w:r>
      <w:r w:rsidR="00A72AD8" w:rsidRPr="00C0094A">
        <w:rPr>
          <w:b/>
          <w:bCs/>
          <w:sz w:val="24"/>
          <w:szCs w:val="24"/>
        </w:rPr>
        <w:t>2021</w:t>
      </w:r>
      <w:r w:rsidRPr="00F12C18">
        <w:rPr>
          <w:sz w:val="24"/>
          <w:szCs w:val="24"/>
        </w:rPr>
        <w:t xml:space="preserve"> (issued under Regulation 17 of the Social Housing Assessment Regulations, 2011</w:t>
      </w:r>
      <w:bookmarkEnd w:id="0"/>
      <w:r w:rsidRPr="00F12C18">
        <w:rPr>
          <w:sz w:val="24"/>
          <w:szCs w:val="24"/>
        </w:rPr>
        <w:t>). - See Appendix 1</w:t>
      </w:r>
    </w:p>
    <w:p w:rsidR="00C7479F" w:rsidRPr="00F12C18" w:rsidRDefault="00C7479F" w:rsidP="00C7479F">
      <w:pPr>
        <w:pStyle w:val="ListParagraph"/>
        <w:ind w:left="360"/>
        <w:rPr>
          <w:rFonts w:cs="Arial"/>
          <w:b/>
        </w:rPr>
      </w:pPr>
    </w:p>
    <w:p w:rsidR="00C7479F" w:rsidRPr="00F12C18" w:rsidRDefault="00C7479F" w:rsidP="00C7479F">
      <w:pPr>
        <w:pStyle w:val="ListParagraph"/>
        <w:numPr>
          <w:ilvl w:val="0"/>
          <w:numId w:val="1"/>
        </w:numPr>
        <w:spacing w:after="0" w:line="240" w:lineRule="auto"/>
        <w:jc w:val="both"/>
        <w:rPr>
          <w:rFonts w:cs="Arial"/>
          <w:b/>
        </w:rPr>
      </w:pPr>
      <w:r w:rsidRPr="00F12C18">
        <w:rPr>
          <w:rFonts w:cs="Arial"/>
          <w:b/>
        </w:rPr>
        <w:t>DISREGARDED INCOME</w:t>
      </w:r>
    </w:p>
    <w:p w:rsidR="00C7479F" w:rsidRPr="00F12C18" w:rsidRDefault="00C7479F" w:rsidP="00C7479F">
      <w:pPr>
        <w:pStyle w:val="ListParagraph"/>
        <w:tabs>
          <w:tab w:val="left" w:pos="6720"/>
        </w:tabs>
        <w:ind w:left="360"/>
        <w:rPr>
          <w:sz w:val="24"/>
          <w:szCs w:val="24"/>
        </w:rPr>
      </w:pPr>
      <w:r w:rsidRPr="00F12C18">
        <w:rPr>
          <w:sz w:val="24"/>
          <w:szCs w:val="24"/>
        </w:rPr>
        <w:t>When calculating the reckonable household income certain categories of income (</w:t>
      </w:r>
      <w:proofErr w:type="spellStart"/>
      <w:r w:rsidRPr="00F12C18">
        <w:rPr>
          <w:sz w:val="24"/>
          <w:szCs w:val="24"/>
        </w:rPr>
        <w:t>eg</w:t>
      </w:r>
      <w:proofErr w:type="spellEnd"/>
      <w:r w:rsidRPr="00F12C18">
        <w:rPr>
          <w:sz w:val="24"/>
          <w:szCs w:val="24"/>
        </w:rPr>
        <w:t xml:space="preserve">. Carers Allowance *) will be disregarded by the Council. This list of income sources to be disregarded is that same as that defined as “income that is not assessable” in </w:t>
      </w:r>
      <w:r w:rsidRPr="00F12C18">
        <w:rPr>
          <w:b/>
          <w:bCs/>
          <w:sz w:val="24"/>
          <w:szCs w:val="24"/>
        </w:rPr>
        <w:t>Section 4</w:t>
      </w:r>
      <w:r w:rsidRPr="00F12C18">
        <w:rPr>
          <w:sz w:val="24"/>
          <w:szCs w:val="24"/>
        </w:rPr>
        <w:t xml:space="preserve"> of the </w:t>
      </w:r>
      <w:r w:rsidRPr="00F12C18">
        <w:rPr>
          <w:b/>
          <w:bCs/>
          <w:sz w:val="24"/>
          <w:szCs w:val="24"/>
        </w:rPr>
        <w:t>Household Means Policy</w:t>
      </w:r>
      <w:r w:rsidR="00A72AD8">
        <w:rPr>
          <w:b/>
          <w:bCs/>
          <w:sz w:val="24"/>
          <w:szCs w:val="24"/>
        </w:rPr>
        <w:t xml:space="preserve"> </w:t>
      </w:r>
      <w:r w:rsidR="00A72AD8" w:rsidRPr="00C0094A">
        <w:rPr>
          <w:b/>
          <w:bCs/>
          <w:sz w:val="24"/>
          <w:szCs w:val="24"/>
        </w:rPr>
        <w:t>2021</w:t>
      </w:r>
      <w:r w:rsidRPr="00C0094A">
        <w:rPr>
          <w:b/>
          <w:bCs/>
          <w:sz w:val="24"/>
          <w:szCs w:val="24"/>
        </w:rPr>
        <w:t>.</w:t>
      </w:r>
      <w:r w:rsidRPr="00F12C18">
        <w:rPr>
          <w:b/>
          <w:bCs/>
          <w:sz w:val="24"/>
          <w:szCs w:val="24"/>
        </w:rPr>
        <w:t xml:space="preserve"> </w:t>
      </w:r>
      <w:r w:rsidRPr="00F12C18">
        <w:rPr>
          <w:sz w:val="24"/>
          <w:szCs w:val="24"/>
        </w:rPr>
        <w:t xml:space="preserve">- See Appendix 1 </w:t>
      </w:r>
    </w:p>
    <w:p w:rsidR="00C7479F" w:rsidRPr="00F12C18" w:rsidRDefault="00C7479F" w:rsidP="00C7479F">
      <w:pPr>
        <w:pStyle w:val="ListParagraph"/>
        <w:tabs>
          <w:tab w:val="left" w:pos="6720"/>
        </w:tabs>
        <w:ind w:left="360"/>
        <w:rPr>
          <w:sz w:val="24"/>
          <w:szCs w:val="24"/>
        </w:rPr>
      </w:pPr>
    </w:p>
    <w:p w:rsidR="00C7479F" w:rsidRPr="00F12C18" w:rsidRDefault="00C7479F" w:rsidP="00C7479F">
      <w:pPr>
        <w:pStyle w:val="ListParagraph"/>
        <w:tabs>
          <w:tab w:val="left" w:pos="6720"/>
        </w:tabs>
        <w:ind w:left="360"/>
        <w:rPr>
          <w:sz w:val="24"/>
          <w:szCs w:val="24"/>
        </w:rPr>
      </w:pPr>
      <w:r w:rsidRPr="00F12C18">
        <w:rPr>
          <w:sz w:val="24"/>
          <w:szCs w:val="24"/>
        </w:rPr>
        <w:t xml:space="preserve">* Note: In the case where a Carers Allowance is the sole income in the household, the rent will be calculated at the minimum rent of €26.00 per week. </w:t>
      </w:r>
    </w:p>
    <w:p w:rsidR="00C7479F" w:rsidRPr="00F12C18" w:rsidRDefault="00C7479F" w:rsidP="00C7479F">
      <w:pPr>
        <w:pStyle w:val="Default"/>
        <w:numPr>
          <w:ilvl w:val="0"/>
          <w:numId w:val="2"/>
        </w:numPr>
        <w:rPr>
          <w:rFonts w:asciiTheme="minorHAnsi" w:hAnsiTheme="minorHAnsi"/>
          <w:sz w:val="22"/>
          <w:szCs w:val="22"/>
        </w:rPr>
      </w:pPr>
    </w:p>
    <w:p w:rsidR="00C7479F" w:rsidRPr="00F12C18" w:rsidRDefault="00C7479F" w:rsidP="00C7479F">
      <w:pPr>
        <w:pStyle w:val="ListParagraph"/>
        <w:numPr>
          <w:ilvl w:val="0"/>
          <w:numId w:val="1"/>
        </w:numPr>
        <w:spacing w:after="0" w:line="240" w:lineRule="auto"/>
        <w:rPr>
          <w:rFonts w:cs="Arial"/>
          <w:b/>
          <w:bCs/>
        </w:rPr>
      </w:pPr>
      <w:r w:rsidRPr="00F12C18">
        <w:rPr>
          <w:rFonts w:cs="Arial"/>
          <w:b/>
          <w:bCs/>
        </w:rPr>
        <w:t>HARDSHIP CLAUSE</w:t>
      </w:r>
    </w:p>
    <w:p w:rsidR="00C7479F" w:rsidRPr="00F12C18" w:rsidRDefault="00C7479F" w:rsidP="00C7479F">
      <w:pPr>
        <w:pStyle w:val="BodyTextIndent2"/>
        <w:ind w:left="360"/>
        <w:jc w:val="both"/>
        <w:rPr>
          <w:rFonts w:asciiTheme="minorHAnsi" w:hAnsiTheme="minorHAnsi" w:cs="Arial"/>
          <w:sz w:val="22"/>
          <w:szCs w:val="22"/>
        </w:rPr>
      </w:pPr>
      <w:r w:rsidRPr="00F12C18">
        <w:rPr>
          <w:rFonts w:asciiTheme="minorHAnsi" w:hAnsiTheme="minorHAnsi" w:cs="Arial"/>
          <w:sz w:val="22"/>
          <w:szCs w:val="22"/>
        </w:rPr>
        <w:t xml:space="preserve">In exceptional circumstances, where payment of a rent calculated would, in the opinion of the City &amp; County Council, give rise to hardship, the Council may agree to accept a lesser sum from a tenant for a specified period.  </w:t>
      </w:r>
    </w:p>
    <w:p w:rsidR="00C7479F" w:rsidRPr="00F12C18" w:rsidRDefault="00C7479F" w:rsidP="00C7479F">
      <w:pPr>
        <w:pStyle w:val="BodyTextIndent2"/>
        <w:jc w:val="both"/>
        <w:rPr>
          <w:rFonts w:asciiTheme="minorHAnsi" w:hAnsiTheme="minorHAnsi" w:cs="Arial"/>
          <w:sz w:val="22"/>
          <w:szCs w:val="22"/>
        </w:rPr>
      </w:pPr>
    </w:p>
    <w:p w:rsidR="00C7479F" w:rsidRPr="00F12C18" w:rsidRDefault="00C7479F" w:rsidP="00C7479F">
      <w:pPr>
        <w:pStyle w:val="BodyTextIndent2"/>
        <w:ind w:left="360"/>
        <w:jc w:val="both"/>
        <w:rPr>
          <w:rFonts w:asciiTheme="minorHAnsi" w:hAnsiTheme="minorHAnsi" w:cs="Arial"/>
          <w:sz w:val="22"/>
          <w:szCs w:val="22"/>
        </w:rPr>
      </w:pPr>
      <w:r w:rsidRPr="00F12C18">
        <w:rPr>
          <w:rFonts w:asciiTheme="minorHAnsi" w:hAnsiTheme="minorHAnsi" w:cs="Arial"/>
          <w:bCs/>
          <w:sz w:val="22"/>
          <w:szCs w:val="22"/>
        </w:rPr>
        <w:t xml:space="preserve">The household must avail of the services of Waterford’s Money Advice &amp; Budgeting Service to be considered for this relief. </w:t>
      </w:r>
      <w:r w:rsidRPr="00F12C18">
        <w:rPr>
          <w:rFonts w:asciiTheme="minorHAnsi" w:hAnsiTheme="minorHAnsi" w:cs="Arial"/>
          <w:sz w:val="22"/>
          <w:szCs w:val="22"/>
        </w:rPr>
        <w:t xml:space="preserve">Such lesser sum shall not be less than 7% of the household income or a rent of €26.00. In all cases Waterford City &amp; County Council reserves the right to grant the hardship clause and to determine its length. </w:t>
      </w:r>
    </w:p>
    <w:p w:rsidR="00C7479F" w:rsidRPr="00F12C18" w:rsidRDefault="00C7479F" w:rsidP="00C7479F">
      <w:pPr>
        <w:pStyle w:val="BodyTextIndent2"/>
        <w:ind w:left="0"/>
        <w:jc w:val="both"/>
        <w:rPr>
          <w:rFonts w:asciiTheme="minorHAnsi" w:hAnsiTheme="minorHAnsi" w:cs="Arial"/>
          <w:b/>
          <w:sz w:val="22"/>
          <w:szCs w:val="22"/>
        </w:rPr>
      </w:pPr>
    </w:p>
    <w:p w:rsidR="00C7479F" w:rsidRPr="00F12C18" w:rsidRDefault="00C7479F" w:rsidP="00C7479F">
      <w:pPr>
        <w:pStyle w:val="BodyTextIndent2"/>
        <w:numPr>
          <w:ilvl w:val="0"/>
          <w:numId w:val="1"/>
        </w:numPr>
        <w:jc w:val="both"/>
        <w:rPr>
          <w:rFonts w:asciiTheme="minorHAnsi" w:hAnsiTheme="minorHAnsi" w:cs="Arial"/>
          <w:sz w:val="22"/>
          <w:szCs w:val="22"/>
        </w:rPr>
      </w:pPr>
      <w:r w:rsidRPr="00F12C18">
        <w:rPr>
          <w:rFonts w:asciiTheme="minorHAnsi" w:hAnsiTheme="minorHAnsi" w:cs="Arial"/>
          <w:b/>
          <w:sz w:val="22"/>
          <w:szCs w:val="22"/>
        </w:rPr>
        <w:t>HAP SPECIFIC HARDSHIP CLAUSE</w:t>
      </w:r>
    </w:p>
    <w:p w:rsidR="00C7479F" w:rsidRPr="00F12C18" w:rsidRDefault="00C7479F" w:rsidP="00C7479F">
      <w:pPr>
        <w:pStyle w:val="BodyTextIndent2"/>
        <w:ind w:left="360"/>
        <w:jc w:val="both"/>
        <w:rPr>
          <w:rFonts w:asciiTheme="minorHAnsi" w:hAnsiTheme="minorHAnsi" w:cs="Arial"/>
          <w:sz w:val="22"/>
          <w:szCs w:val="22"/>
        </w:rPr>
      </w:pPr>
      <w:r w:rsidRPr="00F12C18">
        <w:rPr>
          <w:rFonts w:asciiTheme="minorHAnsi" w:hAnsiTheme="minorHAnsi" w:cs="Arial"/>
          <w:sz w:val="22"/>
          <w:szCs w:val="22"/>
        </w:rPr>
        <w:t xml:space="preserve">Where a household is in receipt of HAP (Housing Assistance Payment) Support a HAP specific hardship clause may be applicable when </w:t>
      </w:r>
    </w:p>
    <w:p w:rsidR="00C7479F" w:rsidRPr="00F12C18" w:rsidRDefault="00C7479F" w:rsidP="00C7479F">
      <w:pPr>
        <w:pStyle w:val="BodyTextIndent2"/>
        <w:ind w:left="0"/>
        <w:jc w:val="both"/>
        <w:rPr>
          <w:rFonts w:asciiTheme="minorHAnsi" w:hAnsiTheme="minorHAnsi" w:cs="Arial"/>
          <w:sz w:val="22"/>
          <w:szCs w:val="22"/>
        </w:rPr>
      </w:pPr>
    </w:p>
    <w:p w:rsidR="00C7479F" w:rsidRPr="00F12C18" w:rsidRDefault="00C7479F" w:rsidP="00C7479F">
      <w:pPr>
        <w:pStyle w:val="BodyTextIndent2"/>
        <w:numPr>
          <w:ilvl w:val="0"/>
          <w:numId w:val="3"/>
        </w:numPr>
        <w:jc w:val="both"/>
        <w:rPr>
          <w:noProof/>
          <w:sz w:val="22"/>
          <w:szCs w:val="22"/>
          <w:lang w:eastAsia="en-IE"/>
        </w:rPr>
      </w:pPr>
      <w:r w:rsidRPr="00F12C18">
        <w:rPr>
          <w:rFonts w:asciiTheme="minorHAnsi" w:hAnsiTheme="minorHAnsi" w:cs="Arial"/>
          <w:sz w:val="22"/>
          <w:szCs w:val="22"/>
        </w:rPr>
        <w:t xml:space="preserve">The Hap monthly payment to the HAP landlord has already been increased to the maximum prescribed limit plus 20% and </w:t>
      </w:r>
    </w:p>
    <w:p w:rsidR="00C7479F" w:rsidRPr="00F12C18" w:rsidRDefault="00C7479F" w:rsidP="00C7479F">
      <w:pPr>
        <w:pStyle w:val="BodyTextIndent2"/>
        <w:numPr>
          <w:ilvl w:val="0"/>
          <w:numId w:val="3"/>
        </w:numPr>
        <w:jc w:val="both"/>
        <w:rPr>
          <w:rFonts w:ascii="Calibri" w:hAnsi="Calibri"/>
          <w:noProof/>
          <w:sz w:val="22"/>
          <w:szCs w:val="22"/>
          <w:lang w:eastAsia="en-IE"/>
        </w:rPr>
      </w:pPr>
      <w:r w:rsidRPr="00F12C18">
        <w:rPr>
          <w:rFonts w:ascii="Calibri" w:hAnsi="Calibri"/>
          <w:noProof/>
          <w:sz w:val="22"/>
          <w:szCs w:val="22"/>
          <w:lang w:eastAsia="en-IE"/>
        </w:rPr>
        <w:t>the tenants weekly outgoing on rent still exceeds 30% of their total weekly income. The tenants total weekly outgoing on rent is calculated as the differential rent paid to the Housing Authority and  any additional rent payment made to the landlord.</w:t>
      </w:r>
    </w:p>
    <w:p w:rsidR="00C7479F" w:rsidRPr="00F12C18" w:rsidRDefault="00C7479F" w:rsidP="00C7479F">
      <w:pPr>
        <w:pStyle w:val="BodyTextIndent2"/>
        <w:ind w:left="0"/>
        <w:jc w:val="both"/>
        <w:rPr>
          <w:rFonts w:ascii="Calibri" w:hAnsi="Calibri"/>
          <w:noProof/>
          <w:sz w:val="22"/>
          <w:szCs w:val="22"/>
          <w:lang w:eastAsia="en-IE"/>
        </w:rPr>
      </w:pPr>
    </w:p>
    <w:p w:rsidR="00C7479F" w:rsidRPr="00F12C18" w:rsidRDefault="00C7479F" w:rsidP="00C7479F">
      <w:pPr>
        <w:pStyle w:val="BodyTextIndent2"/>
        <w:ind w:left="360"/>
        <w:jc w:val="both"/>
        <w:rPr>
          <w:rFonts w:ascii="Calibri" w:hAnsi="Calibri"/>
          <w:noProof/>
          <w:sz w:val="22"/>
          <w:szCs w:val="22"/>
          <w:lang w:eastAsia="en-IE"/>
        </w:rPr>
      </w:pPr>
      <w:r w:rsidRPr="00F12C18">
        <w:rPr>
          <w:rFonts w:ascii="Calibri" w:hAnsi="Calibri"/>
          <w:noProof/>
          <w:sz w:val="22"/>
          <w:szCs w:val="22"/>
          <w:lang w:eastAsia="en-IE"/>
        </w:rPr>
        <w:t xml:space="preserve">In such cases the Housing Authority may agree at their discretion to accept a smaller differential rent for a speficied period of time from the HAP tenant.  </w:t>
      </w:r>
    </w:p>
    <w:p w:rsidR="00C7479F" w:rsidRPr="00F12C18" w:rsidRDefault="00C7479F" w:rsidP="00C7479F">
      <w:pPr>
        <w:pStyle w:val="BodyTextIndent2"/>
        <w:ind w:left="360"/>
        <w:jc w:val="both"/>
        <w:rPr>
          <w:rFonts w:ascii="Calibri" w:hAnsi="Calibri"/>
          <w:noProof/>
          <w:sz w:val="22"/>
          <w:szCs w:val="22"/>
          <w:lang w:eastAsia="en-IE"/>
        </w:rPr>
      </w:pPr>
    </w:p>
    <w:p w:rsidR="00C7479F" w:rsidRPr="00F12C18" w:rsidRDefault="00C7479F" w:rsidP="00C7479F">
      <w:pPr>
        <w:pStyle w:val="BodyTextIndent2"/>
        <w:ind w:left="360"/>
        <w:jc w:val="both"/>
        <w:rPr>
          <w:rFonts w:ascii="Calibri" w:hAnsi="Calibri"/>
          <w:noProof/>
          <w:sz w:val="22"/>
          <w:szCs w:val="22"/>
          <w:lang w:eastAsia="en-IE"/>
        </w:rPr>
      </w:pPr>
    </w:p>
    <w:p w:rsidR="00C7479F" w:rsidRPr="00F12C18" w:rsidRDefault="00C7479F" w:rsidP="00C7479F">
      <w:pPr>
        <w:pStyle w:val="BodyTextIndent2"/>
        <w:ind w:left="360"/>
        <w:jc w:val="both"/>
        <w:rPr>
          <w:b/>
          <w:noProof/>
          <w:lang w:eastAsia="en-IE"/>
        </w:rPr>
      </w:pPr>
    </w:p>
    <w:p w:rsidR="00C7479F" w:rsidRPr="00F12C18" w:rsidRDefault="00C7479F" w:rsidP="00C7479F">
      <w:pPr>
        <w:pStyle w:val="ListParagraph"/>
        <w:numPr>
          <w:ilvl w:val="0"/>
          <w:numId w:val="1"/>
        </w:numPr>
        <w:spacing w:after="0" w:line="240" w:lineRule="auto"/>
        <w:rPr>
          <w:rFonts w:cs="Arial"/>
          <w:b/>
          <w:bCs/>
        </w:rPr>
      </w:pPr>
      <w:r w:rsidRPr="00F12C18">
        <w:rPr>
          <w:rFonts w:cs="Arial"/>
          <w:b/>
          <w:bCs/>
        </w:rPr>
        <w:lastRenderedPageBreak/>
        <w:t>REVIEW OF INCOMES</w:t>
      </w:r>
    </w:p>
    <w:p w:rsidR="00C7479F" w:rsidRPr="00F12C18" w:rsidRDefault="00C7479F" w:rsidP="00C7479F">
      <w:pPr>
        <w:pStyle w:val="ListParagraph"/>
        <w:spacing w:after="0" w:line="240" w:lineRule="auto"/>
        <w:ind w:left="360"/>
        <w:rPr>
          <w:b/>
          <w:noProof/>
          <w:lang w:eastAsia="en-IE"/>
        </w:rPr>
      </w:pPr>
      <w:r w:rsidRPr="00F12C18">
        <w:t>Under their tenancy agreements with the Council, tenants are required to provide the Council with details of their income and the income of each occupant who is living with them. Tenants are also required to immediately notify the Council of any change in their income and the income of other occupants. Failure to notify the Council of any changes to incomes can result in a penalty rent being applied.</w:t>
      </w:r>
    </w:p>
    <w:p w:rsidR="00C7479F" w:rsidRPr="00F12C18" w:rsidRDefault="00C7479F" w:rsidP="00C7479F">
      <w:pPr>
        <w:pStyle w:val="BodyTextIndent2"/>
        <w:ind w:left="360"/>
        <w:jc w:val="both"/>
        <w:rPr>
          <w:rFonts w:asciiTheme="minorHAnsi" w:hAnsiTheme="minorHAnsi"/>
          <w:b/>
          <w:noProof/>
          <w:sz w:val="22"/>
          <w:szCs w:val="22"/>
          <w:lang w:eastAsia="en-IE"/>
        </w:rPr>
      </w:pPr>
    </w:p>
    <w:p w:rsidR="00C7479F" w:rsidRPr="00F12C18" w:rsidRDefault="00C7479F" w:rsidP="00C7479F">
      <w:pPr>
        <w:pStyle w:val="BodyTextIndent2"/>
        <w:numPr>
          <w:ilvl w:val="0"/>
          <w:numId w:val="1"/>
        </w:numPr>
        <w:jc w:val="both"/>
        <w:rPr>
          <w:rFonts w:asciiTheme="minorHAnsi" w:hAnsiTheme="minorHAnsi"/>
          <w:b/>
          <w:noProof/>
          <w:sz w:val="22"/>
          <w:szCs w:val="22"/>
          <w:lang w:eastAsia="en-IE"/>
        </w:rPr>
      </w:pPr>
      <w:r w:rsidRPr="00F12C18">
        <w:rPr>
          <w:rFonts w:asciiTheme="minorHAnsi" w:hAnsiTheme="minorHAnsi"/>
          <w:b/>
          <w:noProof/>
          <w:sz w:val="22"/>
          <w:szCs w:val="22"/>
          <w:lang w:eastAsia="en-IE"/>
        </w:rPr>
        <w:t xml:space="preserve">PENALTY RENT </w:t>
      </w:r>
    </w:p>
    <w:p w:rsidR="00C7479F" w:rsidRPr="00F12C18" w:rsidRDefault="00C7479F" w:rsidP="00C7479F">
      <w:pPr>
        <w:pStyle w:val="BodyTextIndent2"/>
        <w:ind w:left="360"/>
        <w:jc w:val="both"/>
        <w:rPr>
          <w:rFonts w:asciiTheme="minorHAnsi" w:hAnsiTheme="minorHAnsi"/>
          <w:sz w:val="22"/>
          <w:szCs w:val="22"/>
        </w:rPr>
      </w:pPr>
      <w:r w:rsidRPr="00F12C18">
        <w:rPr>
          <w:rFonts w:asciiTheme="minorHAnsi" w:hAnsiTheme="minorHAnsi"/>
          <w:noProof/>
          <w:sz w:val="22"/>
          <w:szCs w:val="22"/>
          <w:lang w:eastAsia="en-IE"/>
        </w:rPr>
        <w:t>A penalty rent can be charged where tenants do not return the necessary forms or proofs of income and other requested documentation to facilitate calculation of rent.</w:t>
      </w:r>
      <w:r w:rsidRPr="00F12C18">
        <w:rPr>
          <w:rFonts w:asciiTheme="minorHAnsi" w:hAnsiTheme="minorHAnsi"/>
          <w:sz w:val="22"/>
          <w:szCs w:val="22"/>
        </w:rPr>
        <w:t xml:space="preserve"> Similarly If a tenant fails to respond to the annual rent review within the time specified, the Council will apply a penalty increase of 30% to the tenant’s existing rent and the penalty rent will continue to be applied until the response to the review is received by the Council.</w:t>
      </w:r>
    </w:p>
    <w:p w:rsidR="00C7479F" w:rsidRPr="00F12C18" w:rsidRDefault="00C7479F" w:rsidP="00C7479F">
      <w:pPr>
        <w:pStyle w:val="BodyTextIndent2"/>
        <w:ind w:left="360"/>
        <w:jc w:val="both"/>
        <w:rPr>
          <w:rFonts w:asciiTheme="minorHAnsi" w:hAnsiTheme="minorHAnsi"/>
          <w:sz w:val="22"/>
          <w:szCs w:val="22"/>
        </w:rPr>
      </w:pPr>
    </w:p>
    <w:p w:rsidR="00C7479F" w:rsidRPr="00F12C18" w:rsidRDefault="00C7479F" w:rsidP="00C7479F">
      <w:pPr>
        <w:pStyle w:val="BodyTextIndent2"/>
        <w:numPr>
          <w:ilvl w:val="0"/>
          <w:numId w:val="1"/>
        </w:numPr>
        <w:jc w:val="both"/>
        <w:rPr>
          <w:rFonts w:asciiTheme="minorHAnsi" w:hAnsiTheme="minorHAnsi"/>
          <w:b/>
          <w:noProof/>
          <w:sz w:val="22"/>
          <w:szCs w:val="22"/>
          <w:lang w:eastAsia="en-IE"/>
        </w:rPr>
      </w:pPr>
      <w:r w:rsidRPr="00F12C18">
        <w:rPr>
          <w:rFonts w:asciiTheme="minorHAnsi" w:hAnsiTheme="minorHAnsi"/>
          <w:b/>
          <w:noProof/>
          <w:sz w:val="22"/>
          <w:szCs w:val="22"/>
          <w:lang w:eastAsia="en-IE"/>
        </w:rPr>
        <w:t>MINIMUM &amp; MAXIMUM RENTS</w:t>
      </w:r>
    </w:p>
    <w:p w:rsidR="00C7479F" w:rsidRPr="00F12C18" w:rsidRDefault="00C7479F" w:rsidP="00C7479F">
      <w:pPr>
        <w:pStyle w:val="BodyTextIndent2"/>
        <w:ind w:left="360"/>
        <w:jc w:val="both"/>
        <w:rPr>
          <w:rFonts w:asciiTheme="minorHAnsi" w:hAnsiTheme="minorHAnsi"/>
          <w:noProof/>
          <w:sz w:val="22"/>
          <w:szCs w:val="22"/>
          <w:lang w:eastAsia="en-IE"/>
        </w:rPr>
      </w:pPr>
      <w:r w:rsidRPr="00F12C18">
        <w:rPr>
          <w:rFonts w:asciiTheme="minorHAnsi" w:hAnsiTheme="minorHAnsi"/>
          <w:noProof/>
          <w:sz w:val="22"/>
          <w:szCs w:val="22"/>
          <w:lang w:eastAsia="en-IE"/>
        </w:rPr>
        <w:t>The mimimum rent under this Scheme will be €26.00 based on the basic Social Welfare rate of payment of €203.00.</w:t>
      </w:r>
    </w:p>
    <w:p w:rsidR="00C7479F" w:rsidRPr="009631CB" w:rsidRDefault="00C7479F" w:rsidP="00C7479F">
      <w:pPr>
        <w:pStyle w:val="BodyTextIndent2"/>
        <w:ind w:left="360"/>
        <w:jc w:val="both"/>
        <w:rPr>
          <w:rFonts w:asciiTheme="minorHAnsi" w:hAnsiTheme="minorHAnsi" w:cstheme="minorHAnsi"/>
          <w:sz w:val="22"/>
          <w:szCs w:val="22"/>
        </w:rPr>
      </w:pPr>
      <w:r w:rsidRPr="00F12C18">
        <w:rPr>
          <w:rFonts w:asciiTheme="minorHAnsi" w:hAnsiTheme="minorHAnsi" w:cstheme="minorHAnsi"/>
          <w:sz w:val="22"/>
          <w:szCs w:val="22"/>
        </w:rPr>
        <w:t>There will be no maximum rent for a household.</w:t>
      </w:r>
      <w:r w:rsidRPr="009631CB">
        <w:rPr>
          <w:rFonts w:asciiTheme="minorHAnsi" w:hAnsiTheme="minorHAnsi" w:cstheme="minorHAnsi"/>
          <w:sz w:val="22"/>
          <w:szCs w:val="22"/>
        </w:rPr>
        <w:t xml:space="preserve">  </w:t>
      </w:r>
    </w:p>
    <w:p w:rsidR="00C7479F" w:rsidRDefault="00C7479F" w:rsidP="00C7479F">
      <w:pPr>
        <w:pStyle w:val="BodyTextIndent2"/>
        <w:ind w:left="720"/>
        <w:jc w:val="both"/>
        <w:rPr>
          <w:rFonts w:asciiTheme="minorHAnsi" w:hAnsiTheme="minorHAnsi" w:cstheme="minorHAnsi"/>
          <w:b/>
          <w:color w:val="FF0000"/>
          <w:sz w:val="22"/>
          <w:szCs w:val="22"/>
        </w:rPr>
      </w:pPr>
    </w:p>
    <w:p w:rsidR="00C7479F" w:rsidRPr="001E6EE0" w:rsidRDefault="00C7479F" w:rsidP="00C7479F">
      <w:pPr>
        <w:pStyle w:val="BodyTextIndent2"/>
        <w:numPr>
          <w:ilvl w:val="0"/>
          <w:numId w:val="1"/>
        </w:numPr>
        <w:jc w:val="both"/>
        <w:rPr>
          <w:rFonts w:asciiTheme="minorHAnsi" w:hAnsiTheme="minorHAnsi" w:cstheme="minorHAnsi"/>
          <w:b/>
          <w:sz w:val="22"/>
          <w:szCs w:val="22"/>
        </w:rPr>
      </w:pPr>
      <w:r w:rsidRPr="001E6EE0">
        <w:rPr>
          <w:rFonts w:asciiTheme="minorHAnsi" w:hAnsiTheme="minorHAnsi" w:cstheme="minorHAnsi"/>
          <w:b/>
          <w:sz w:val="22"/>
          <w:szCs w:val="22"/>
        </w:rPr>
        <w:t>FIXED RENTS</w:t>
      </w:r>
    </w:p>
    <w:p w:rsidR="00C7479F" w:rsidRPr="00575171" w:rsidRDefault="00C7479F" w:rsidP="00C7479F">
      <w:pPr>
        <w:pStyle w:val="BodyTextIndent2"/>
        <w:ind w:left="0" w:firstLine="360"/>
        <w:jc w:val="both"/>
        <w:rPr>
          <w:rFonts w:asciiTheme="minorHAnsi" w:hAnsiTheme="minorHAnsi" w:cstheme="minorHAnsi"/>
          <w:sz w:val="22"/>
          <w:szCs w:val="22"/>
        </w:rPr>
      </w:pPr>
      <w:r w:rsidRPr="00575171">
        <w:rPr>
          <w:rFonts w:asciiTheme="minorHAnsi" w:hAnsiTheme="minorHAnsi" w:cstheme="minorHAnsi"/>
          <w:sz w:val="22"/>
          <w:szCs w:val="22"/>
        </w:rPr>
        <w:t>Where a fixed rent applies to a dwelling, the rent will not be increased in 2020.</w:t>
      </w:r>
    </w:p>
    <w:p w:rsidR="00C7479F" w:rsidRDefault="00C7479F" w:rsidP="00C7479F">
      <w:pPr>
        <w:pStyle w:val="BodyTextIndent2"/>
        <w:ind w:left="360" w:firstLine="360"/>
        <w:jc w:val="both"/>
        <w:rPr>
          <w:rFonts w:asciiTheme="minorHAnsi" w:hAnsiTheme="minorHAnsi" w:cstheme="minorHAnsi"/>
          <w:b/>
          <w:color w:val="FF0000"/>
          <w:sz w:val="22"/>
          <w:szCs w:val="22"/>
        </w:rPr>
      </w:pPr>
    </w:p>
    <w:p w:rsidR="00C7479F" w:rsidRPr="009631CB" w:rsidRDefault="00C7479F" w:rsidP="00C7479F">
      <w:pPr>
        <w:pStyle w:val="BodyTextIndent2"/>
        <w:numPr>
          <w:ilvl w:val="0"/>
          <w:numId w:val="1"/>
        </w:numPr>
        <w:jc w:val="both"/>
        <w:rPr>
          <w:rFonts w:asciiTheme="minorHAnsi" w:hAnsiTheme="minorHAnsi" w:cstheme="minorHAnsi"/>
          <w:b/>
          <w:sz w:val="22"/>
          <w:szCs w:val="22"/>
        </w:rPr>
      </w:pPr>
      <w:r w:rsidRPr="009631CB">
        <w:rPr>
          <w:rFonts w:asciiTheme="minorHAnsi" w:hAnsiTheme="minorHAnsi" w:cstheme="minorHAnsi"/>
          <w:b/>
          <w:sz w:val="22"/>
          <w:szCs w:val="22"/>
        </w:rPr>
        <w:t>DEMOUNTABLE</w:t>
      </w:r>
    </w:p>
    <w:p w:rsidR="00C7479F" w:rsidRDefault="00C7479F" w:rsidP="00C7479F">
      <w:pPr>
        <w:pStyle w:val="BodyTextIndent2"/>
        <w:ind w:left="360"/>
        <w:jc w:val="both"/>
        <w:rPr>
          <w:rFonts w:asciiTheme="minorHAnsi" w:hAnsiTheme="minorHAnsi" w:cstheme="minorHAnsi"/>
          <w:sz w:val="22"/>
          <w:szCs w:val="22"/>
        </w:rPr>
      </w:pPr>
      <w:r w:rsidRPr="009631CB">
        <w:rPr>
          <w:rFonts w:asciiTheme="minorHAnsi" w:hAnsiTheme="minorHAnsi" w:cstheme="minorHAnsi"/>
          <w:sz w:val="22"/>
          <w:szCs w:val="22"/>
        </w:rPr>
        <w:t>Demountable</w:t>
      </w:r>
      <w:r w:rsidRPr="009631CB">
        <w:rPr>
          <w:rFonts w:asciiTheme="minorHAnsi" w:hAnsiTheme="minorHAnsi" w:cstheme="minorHAnsi"/>
          <w:sz w:val="22"/>
          <w:szCs w:val="22"/>
        </w:rPr>
        <w:tab/>
        <w:t>€14.50</w:t>
      </w:r>
    </w:p>
    <w:p w:rsidR="00633028" w:rsidRDefault="00633028" w:rsidP="00C7479F">
      <w:pPr>
        <w:pStyle w:val="BodyTextIndent2"/>
        <w:ind w:left="360"/>
        <w:jc w:val="both"/>
        <w:rPr>
          <w:rFonts w:asciiTheme="minorHAnsi" w:hAnsiTheme="minorHAnsi" w:cstheme="minorHAnsi"/>
          <w:sz w:val="22"/>
          <w:szCs w:val="22"/>
        </w:rPr>
      </w:pPr>
    </w:p>
    <w:p w:rsidR="00633028" w:rsidRDefault="00633028" w:rsidP="00C7479F">
      <w:pPr>
        <w:pStyle w:val="BodyTextIndent2"/>
        <w:ind w:left="360"/>
        <w:jc w:val="both"/>
        <w:rPr>
          <w:rFonts w:asciiTheme="minorHAnsi" w:hAnsiTheme="minorHAnsi" w:cstheme="minorHAnsi"/>
          <w:sz w:val="22"/>
          <w:szCs w:val="22"/>
        </w:rPr>
      </w:pPr>
    </w:p>
    <w:p w:rsidR="00633028" w:rsidRDefault="00633028" w:rsidP="00C7479F">
      <w:pPr>
        <w:pStyle w:val="BodyTextIndent2"/>
        <w:ind w:left="360"/>
        <w:jc w:val="both"/>
        <w:rPr>
          <w:rFonts w:asciiTheme="minorHAnsi" w:hAnsiTheme="minorHAnsi" w:cstheme="minorHAnsi"/>
          <w:sz w:val="22"/>
          <w:szCs w:val="22"/>
        </w:rPr>
      </w:pPr>
    </w:p>
    <w:p w:rsidR="00633028" w:rsidRDefault="00633028" w:rsidP="00C7479F">
      <w:pPr>
        <w:pStyle w:val="BodyTextIndent2"/>
        <w:ind w:left="360"/>
        <w:jc w:val="both"/>
        <w:rPr>
          <w:rFonts w:asciiTheme="minorHAnsi" w:hAnsiTheme="minorHAnsi" w:cstheme="minorHAnsi"/>
          <w:sz w:val="22"/>
          <w:szCs w:val="22"/>
        </w:rPr>
      </w:pPr>
    </w:p>
    <w:p w:rsidR="00633028" w:rsidRDefault="00633028" w:rsidP="00C7479F">
      <w:pPr>
        <w:pStyle w:val="BodyTextIndent2"/>
        <w:ind w:left="360"/>
        <w:jc w:val="both"/>
        <w:rPr>
          <w:rFonts w:asciiTheme="minorHAnsi" w:hAnsiTheme="minorHAnsi" w:cstheme="minorHAnsi"/>
          <w:sz w:val="22"/>
          <w:szCs w:val="22"/>
        </w:rPr>
      </w:pPr>
    </w:p>
    <w:p w:rsidR="00633028" w:rsidRDefault="00633028" w:rsidP="00C7479F">
      <w:pPr>
        <w:pStyle w:val="BodyTextIndent2"/>
        <w:ind w:left="360"/>
        <w:jc w:val="both"/>
        <w:rPr>
          <w:rFonts w:asciiTheme="minorHAnsi" w:hAnsiTheme="minorHAnsi" w:cstheme="minorHAnsi"/>
          <w:sz w:val="22"/>
          <w:szCs w:val="22"/>
        </w:rPr>
      </w:pPr>
    </w:p>
    <w:p w:rsidR="00633028" w:rsidRDefault="00633028" w:rsidP="00C7479F">
      <w:pPr>
        <w:pStyle w:val="BodyTextIndent2"/>
        <w:ind w:left="360"/>
        <w:jc w:val="both"/>
        <w:rPr>
          <w:rFonts w:asciiTheme="minorHAnsi" w:hAnsiTheme="minorHAnsi" w:cstheme="minorHAnsi"/>
          <w:sz w:val="22"/>
          <w:szCs w:val="22"/>
        </w:rPr>
      </w:pPr>
    </w:p>
    <w:p w:rsidR="00633028" w:rsidRDefault="00633028" w:rsidP="00C7479F">
      <w:pPr>
        <w:pStyle w:val="BodyTextIndent2"/>
        <w:ind w:left="360"/>
        <w:jc w:val="both"/>
        <w:rPr>
          <w:rFonts w:asciiTheme="minorHAnsi" w:hAnsiTheme="minorHAnsi" w:cstheme="minorHAnsi"/>
          <w:sz w:val="22"/>
          <w:szCs w:val="22"/>
        </w:rPr>
      </w:pPr>
    </w:p>
    <w:p w:rsidR="00633028" w:rsidRDefault="00633028" w:rsidP="00C7479F">
      <w:pPr>
        <w:pStyle w:val="BodyTextIndent2"/>
        <w:ind w:left="360"/>
        <w:jc w:val="both"/>
        <w:rPr>
          <w:rFonts w:asciiTheme="minorHAnsi" w:hAnsiTheme="minorHAnsi" w:cstheme="minorHAnsi"/>
          <w:sz w:val="22"/>
          <w:szCs w:val="22"/>
        </w:rPr>
      </w:pPr>
    </w:p>
    <w:p w:rsidR="00633028" w:rsidRDefault="00633028" w:rsidP="00C7479F">
      <w:pPr>
        <w:pStyle w:val="BodyTextIndent2"/>
        <w:ind w:left="360"/>
        <w:jc w:val="both"/>
        <w:rPr>
          <w:rFonts w:asciiTheme="minorHAnsi" w:hAnsiTheme="minorHAnsi" w:cstheme="minorHAnsi"/>
          <w:sz w:val="22"/>
          <w:szCs w:val="22"/>
        </w:rPr>
      </w:pPr>
    </w:p>
    <w:p w:rsidR="00633028" w:rsidRDefault="00633028" w:rsidP="00C7479F">
      <w:pPr>
        <w:pStyle w:val="BodyTextIndent2"/>
        <w:ind w:left="360"/>
        <w:jc w:val="both"/>
        <w:rPr>
          <w:rFonts w:asciiTheme="minorHAnsi" w:hAnsiTheme="minorHAnsi" w:cstheme="minorHAnsi"/>
          <w:sz w:val="22"/>
          <w:szCs w:val="22"/>
        </w:rPr>
      </w:pPr>
    </w:p>
    <w:p w:rsidR="00633028" w:rsidRDefault="00633028" w:rsidP="00C7479F">
      <w:pPr>
        <w:pStyle w:val="BodyTextIndent2"/>
        <w:ind w:left="360"/>
        <w:jc w:val="both"/>
        <w:rPr>
          <w:rFonts w:asciiTheme="minorHAnsi" w:hAnsiTheme="minorHAnsi" w:cstheme="minorHAnsi"/>
          <w:sz w:val="22"/>
          <w:szCs w:val="22"/>
        </w:rPr>
      </w:pPr>
    </w:p>
    <w:p w:rsidR="00633028" w:rsidRDefault="00633028" w:rsidP="00C7479F">
      <w:pPr>
        <w:pStyle w:val="BodyTextIndent2"/>
        <w:ind w:left="360"/>
        <w:jc w:val="both"/>
        <w:rPr>
          <w:rFonts w:asciiTheme="minorHAnsi" w:hAnsiTheme="minorHAnsi" w:cstheme="minorHAnsi"/>
          <w:sz w:val="22"/>
          <w:szCs w:val="22"/>
        </w:rPr>
      </w:pPr>
    </w:p>
    <w:p w:rsidR="00633028" w:rsidRDefault="00633028" w:rsidP="00C7479F">
      <w:pPr>
        <w:pStyle w:val="BodyTextIndent2"/>
        <w:ind w:left="360"/>
        <w:jc w:val="both"/>
        <w:rPr>
          <w:rFonts w:asciiTheme="minorHAnsi" w:hAnsiTheme="minorHAnsi" w:cstheme="minorHAnsi"/>
          <w:sz w:val="22"/>
          <w:szCs w:val="22"/>
        </w:rPr>
      </w:pPr>
    </w:p>
    <w:p w:rsidR="00633028" w:rsidRDefault="00633028" w:rsidP="00C7479F">
      <w:pPr>
        <w:pStyle w:val="BodyTextIndent2"/>
        <w:ind w:left="360"/>
        <w:jc w:val="both"/>
        <w:rPr>
          <w:rFonts w:asciiTheme="minorHAnsi" w:hAnsiTheme="minorHAnsi" w:cstheme="minorHAnsi"/>
          <w:sz w:val="22"/>
          <w:szCs w:val="22"/>
        </w:rPr>
      </w:pPr>
    </w:p>
    <w:p w:rsidR="00633028" w:rsidRDefault="00633028" w:rsidP="00C7479F">
      <w:pPr>
        <w:pStyle w:val="BodyTextIndent2"/>
        <w:ind w:left="360"/>
        <w:jc w:val="both"/>
        <w:rPr>
          <w:rFonts w:asciiTheme="minorHAnsi" w:hAnsiTheme="minorHAnsi" w:cstheme="minorHAnsi"/>
          <w:sz w:val="22"/>
          <w:szCs w:val="22"/>
        </w:rPr>
      </w:pPr>
    </w:p>
    <w:p w:rsidR="00633028" w:rsidRDefault="00633028" w:rsidP="00C7479F">
      <w:pPr>
        <w:pStyle w:val="BodyTextIndent2"/>
        <w:ind w:left="360"/>
        <w:jc w:val="both"/>
        <w:rPr>
          <w:rFonts w:asciiTheme="minorHAnsi" w:hAnsiTheme="minorHAnsi" w:cstheme="minorHAnsi"/>
          <w:sz w:val="22"/>
          <w:szCs w:val="22"/>
        </w:rPr>
      </w:pPr>
    </w:p>
    <w:p w:rsidR="00633028" w:rsidRDefault="00633028" w:rsidP="00C7479F">
      <w:pPr>
        <w:pStyle w:val="BodyTextIndent2"/>
        <w:ind w:left="360"/>
        <w:jc w:val="both"/>
        <w:rPr>
          <w:rFonts w:asciiTheme="minorHAnsi" w:hAnsiTheme="minorHAnsi" w:cstheme="minorHAnsi"/>
          <w:sz w:val="22"/>
          <w:szCs w:val="22"/>
        </w:rPr>
      </w:pPr>
    </w:p>
    <w:p w:rsidR="00633028" w:rsidRDefault="00633028" w:rsidP="00C7479F">
      <w:pPr>
        <w:pStyle w:val="BodyTextIndent2"/>
        <w:ind w:left="360"/>
        <w:jc w:val="both"/>
        <w:rPr>
          <w:rFonts w:asciiTheme="minorHAnsi" w:hAnsiTheme="minorHAnsi" w:cstheme="minorHAnsi"/>
          <w:sz w:val="22"/>
          <w:szCs w:val="22"/>
        </w:rPr>
      </w:pPr>
    </w:p>
    <w:p w:rsidR="00633028" w:rsidRDefault="00633028" w:rsidP="00C7479F">
      <w:pPr>
        <w:pStyle w:val="BodyTextIndent2"/>
        <w:ind w:left="360"/>
        <w:jc w:val="both"/>
        <w:rPr>
          <w:rFonts w:asciiTheme="minorHAnsi" w:hAnsiTheme="minorHAnsi" w:cstheme="minorHAnsi"/>
          <w:sz w:val="22"/>
          <w:szCs w:val="22"/>
        </w:rPr>
      </w:pPr>
    </w:p>
    <w:p w:rsidR="00633028" w:rsidRDefault="00633028" w:rsidP="00C7479F">
      <w:pPr>
        <w:pStyle w:val="BodyTextIndent2"/>
        <w:ind w:left="360"/>
        <w:jc w:val="both"/>
        <w:rPr>
          <w:rFonts w:asciiTheme="minorHAnsi" w:hAnsiTheme="minorHAnsi" w:cstheme="minorHAnsi"/>
          <w:sz w:val="22"/>
          <w:szCs w:val="22"/>
        </w:rPr>
      </w:pPr>
    </w:p>
    <w:p w:rsidR="00633028" w:rsidRDefault="00633028" w:rsidP="00C7479F">
      <w:pPr>
        <w:pStyle w:val="BodyTextIndent2"/>
        <w:ind w:left="360"/>
        <w:jc w:val="both"/>
        <w:rPr>
          <w:rFonts w:asciiTheme="minorHAnsi" w:hAnsiTheme="minorHAnsi" w:cstheme="minorHAnsi"/>
          <w:sz w:val="22"/>
          <w:szCs w:val="22"/>
        </w:rPr>
      </w:pPr>
    </w:p>
    <w:p w:rsidR="00633028" w:rsidRDefault="00633028" w:rsidP="00C7479F">
      <w:pPr>
        <w:pStyle w:val="BodyTextIndent2"/>
        <w:ind w:left="360"/>
        <w:jc w:val="both"/>
        <w:rPr>
          <w:rFonts w:asciiTheme="minorHAnsi" w:hAnsiTheme="minorHAnsi" w:cstheme="minorHAnsi"/>
          <w:sz w:val="22"/>
          <w:szCs w:val="22"/>
        </w:rPr>
      </w:pPr>
    </w:p>
    <w:p w:rsidR="00633028" w:rsidRDefault="00633028" w:rsidP="00C7479F">
      <w:pPr>
        <w:pStyle w:val="BodyTextIndent2"/>
        <w:ind w:left="360"/>
        <w:jc w:val="both"/>
        <w:rPr>
          <w:rFonts w:asciiTheme="minorHAnsi" w:hAnsiTheme="minorHAnsi" w:cstheme="minorHAnsi"/>
          <w:sz w:val="22"/>
          <w:szCs w:val="22"/>
        </w:rPr>
      </w:pPr>
    </w:p>
    <w:p w:rsidR="00633028" w:rsidRDefault="00633028" w:rsidP="00C7479F">
      <w:pPr>
        <w:pStyle w:val="BodyTextIndent2"/>
        <w:ind w:left="360"/>
        <w:jc w:val="both"/>
        <w:rPr>
          <w:rFonts w:asciiTheme="minorHAnsi" w:hAnsiTheme="minorHAnsi" w:cstheme="minorHAnsi"/>
          <w:sz w:val="22"/>
          <w:szCs w:val="22"/>
        </w:rPr>
      </w:pPr>
    </w:p>
    <w:p w:rsidR="00633028" w:rsidRDefault="00633028" w:rsidP="00C7479F">
      <w:pPr>
        <w:pStyle w:val="BodyTextIndent2"/>
        <w:ind w:left="360"/>
        <w:jc w:val="both"/>
        <w:rPr>
          <w:rFonts w:asciiTheme="minorHAnsi" w:hAnsiTheme="minorHAnsi" w:cstheme="minorHAnsi"/>
          <w:sz w:val="22"/>
          <w:szCs w:val="22"/>
        </w:rPr>
      </w:pPr>
    </w:p>
    <w:p w:rsidR="00633028" w:rsidRDefault="00633028" w:rsidP="00C7479F">
      <w:pPr>
        <w:pStyle w:val="BodyTextIndent2"/>
        <w:ind w:left="360"/>
        <w:jc w:val="both"/>
        <w:rPr>
          <w:rFonts w:asciiTheme="minorHAnsi" w:hAnsiTheme="minorHAnsi" w:cstheme="minorHAnsi"/>
          <w:sz w:val="22"/>
          <w:szCs w:val="22"/>
        </w:rPr>
      </w:pPr>
    </w:p>
    <w:p w:rsidR="00633028" w:rsidRDefault="00633028" w:rsidP="00C7479F">
      <w:pPr>
        <w:pStyle w:val="BodyTextIndent2"/>
        <w:ind w:left="360"/>
        <w:jc w:val="both"/>
        <w:rPr>
          <w:rFonts w:asciiTheme="minorHAnsi" w:hAnsiTheme="minorHAnsi" w:cstheme="minorHAnsi"/>
          <w:sz w:val="22"/>
          <w:szCs w:val="22"/>
        </w:rPr>
      </w:pPr>
    </w:p>
    <w:p w:rsidR="00633028" w:rsidRDefault="00633028" w:rsidP="00C7479F">
      <w:pPr>
        <w:pStyle w:val="BodyTextIndent2"/>
        <w:ind w:left="360"/>
        <w:jc w:val="both"/>
        <w:rPr>
          <w:rFonts w:asciiTheme="minorHAnsi" w:hAnsiTheme="minorHAnsi" w:cstheme="minorHAnsi"/>
          <w:sz w:val="22"/>
          <w:szCs w:val="22"/>
        </w:rPr>
      </w:pPr>
    </w:p>
    <w:p w:rsidR="00633028" w:rsidRPr="00633028" w:rsidRDefault="00633028" w:rsidP="00633028">
      <w:pPr>
        <w:pStyle w:val="BodyTextIndent2"/>
        <w:ind w:left="360"/>
        <w:jc w:val="center"/>
        <w:rPr>
          <w:rFonts w:asciiTheme="minorHAnsi" w:hAnsiTheme="minorHAnsi" w:cstheme="minorHAnsi"/>
          <w:b/>
          <w:bCs/>
          <w:sz w:val="22"/>
          <w:szCs w:val="22"/>
        </w:rPr>
      </w:pPr>
      <w:r w:rsidRPr="00633028">
        <w:rPr>
          <w:rFonts w:asciiTheme="minorHAnsi" w:hAnsiTheme="minorHAnsi" w:cstheme="minorHAnsi"/>
          <w:b/>
          <w:bCs/>
          <w:sz w:val="22"/>
          <w:szCs w:val="22"/>
        </w:rPr>
        <w:t>Appendix 1</w:t>
      </w:r>
    </w:p>
    <w:p w:rsidR="00633028" w:rsidRPr="009B4C5B" w:rsidRDefault="00633028" w:rsidP="00633028">
      <w:r>
        <w:rPr>
          <w:noProof/>
          <w:lang w:eastAsia="en-IE"/>
        </w:rPr>
        <w:drawing>
          <wp:inline distT="0" distB="0" distL="0" distR="0">
            <wp:extent cx="2647950" cy="8613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2695610" cy="876885"/>
                    </a:xfrm>
                    <a:prstGeom prst="rect">
                      <a:avLst/>
                    </a:prstGeom>
                  </pic:spPr>
                </pic:pic>
              </a:graphicData>
            </a:graphic>
          </wp:inline>
        </w:drawing>
      </w:r>
    </w:p>
    <w:p w:rsidR="00633028" w:rsidRDefault="00633028" w:rsidP="00633028">
      <w:pPr>
        <w:jc w:val="center"/>
        <w:rPr>
          <w:b/>
          <w:bCs/>
          <w:sz w:val="32"/>
          <w:szCs w:val="32"/>
        </w:rPr>
      </w:pPr>
    </w:p>
    <w:p w:rsidR="00633028" w:rsidRDefault="00633028" w:rsidP="00633028">
      <w:pPr>
        <w:jc w:val="center"/>
        <w:rPr>
          <w:b/>
          <w:bCs/>
          <w:sz w:val="32"/>
          <w:szCs w:val="32"/>
        </w:rPr>
      </w:pPr>
    </w:p>
    <w:p w:rsidR="00633028" w:rsidRDefault="00633028" w:rsidP="00633028">
      <w:pPr>
        <w:jc w:val="center"/>
        <w:rPr>
          <w:b/>
          <w:bCs/>
          <w:sz w:val="32"/>
          <w:szCs w:val="32"/>
        </w:rPr>
      </w:pPr>
    </w:p>
    <w:p w:rsidR="00633028" w:rsidRDefault="00633028" w:rsidP="00633028">
      <w:pPr>
        <w:jc w:val="center"/>
        <w:rPr>
          <w:b/>
          <w:bCs/>
          <w:sz w:val="32"/>
          <w:szCs w:val="32"/>
        </w:rPr>
      </w:pPr>
    </w:p>
    <w:p w:rsidR="00633028" w:rsidRPr="009B4C5B" w:rsidRDefault="00633028" w:rsidP="00633028">
      <w:pPr>
        <w:jc w:val="center"/>
        <w:rPr>
          <w:sz w:val="28"/>
          <w:szCs w:val="28"/>
        </w:rPr>
      </w:pPr>
      <w:r w:rsidRPr="009B4C5B">
        <w:rPr>
          <w:b/>
          <w:bCs/>
          <w:sz w:val="28"/>
          <w:szCs w:val="28"/>
        </w:rPr>
        <w:t>Social Housing Support</w:t>
      </w:r>
    </w:p>
    <w:p w:rsidR="00633028" w:rsidRPr="009B4C5B" w:rsidRDefault="00633028" w:rsidP="00633028">
      <w:pPr>
        <w:jc w:val="center"/>
        <w:rPr>
          <w:sz w:val="28"/>
          <w:szCs w:val="28"/>
        </w:rPr>
      </w:pPr>
      <w:r w:rsidRPr="009B4C5B">
        <w:rPr>
          <w:b/>
          <w:bCs/>
          <w:sz w:val="28"/>
          <w:szCs w:val="28"/>
        </w:rPr>
        <w:t>Household Means Policy 2021</w:t>
      </w:r>
    </w:p>
    <w:p w:rsidR="00633028" w:rsidRDefault="00633028" w:rsidP="00633028">
      <w:pPr>
        <w:jc w:val="center"/>
        <w:rPr>
          <w:sz w:val="28"/>
          <w:szCs w:val="28"/>
        </w:rPr>
      </w:pPr>
      <w:r w:rsidRPr="009B4C5B">
        <w:rPr>
          <w:sz w:val="28"/>
          <w:szCs w:val="28"/>
        </w:rPr>
        <w:t xml:space="preserve">Issued under Regulation 17 of the Social Housing Assessment Regulations </w:t>
      </w:r>
    </w:p>
    <w:p w:rsidR="00633028" w:rsidRPr="009B4C5B" w:rsidRDefault="00633028" w:rsidP="00633028">
      <w:pPr>
        <w:jc w:val="center"/>
        <w:rPr>
          <w:sz w:val="28"/>
          <w:szCs w:val="28"/>
        </w:rPr>
      </w:pPr>
      <w:r w:rsidRPr="009B4C5B">
        <w:rPr>
          <w:sz w:val="28"/>
          <w:szCs w:val="28"/>
        </w:rPr>
        <w:t>2011</w:t>
      </w:r>
    </w:p>
    <w:p w:rsidR="00633028" w:rsidRPr="009B4C5B" w:rsidRDefault="00633028" w:rsidP="00633028">
      <w:pPr>
        <w:jc w:val="center"/>
        <w:rPr>
          <w:sz w:val="28"/>
          <w:szCs w:val="28"/>
        </w:rPr>
      </w:pPr>
    </w:p>
    <w:p w:rsidR="00633028" w:rsidRPr="009B4C5B" w:rsidRDefault="00633028" w:rsidP="00633028">
      <w:pPr>
        <w:jc w:val="center"/>
        <w:rPr>
          <w:sz w:val="28"/>
          <w:szCs w:val="28"/>
        </w:rPr>
      </w:pPr>
    </w:p>
    <w:p w:rsidR="00633028" w:rsidRPr="009B4C5B" w:rsidRDefault="00633028" w:rsidP="00633028">
      <w:pPr>
        <w:jc w:val="center"/>
        <w:rPr>
          <w:sz w:val="28"/>
          <w:szCs w:val="28"/>
        </w:rPr>
      </w:pPr>
      <w:r w:rsidRPr="009B4C5B">
        <w:rPr>
          <w:sz w:val="28"/>
          <w:szCs w:val="28"/>
        </w:rPr>
        <w:t>Approved by the Minister for Housing, Local Government and Heritage</w:t>
      </w:r>
    </w:p>
    <w:p w:rsidR="00633028" w:rsidRPr="009B4C5B" w:rsidRDefault="00633028" w:rsidP="00633028">
      <w:pPr>
        <w:jc w:val="center"/>
        <w:rPr>
          <w:sz w:val="28"/>
          <w:szCs w:val="28"/>
        </w:rPr>
      </w:pPr>
      <w:r w:rsidRPr="009B4C5B">
        <w:rPr>
          <w:sz w:val="28"/>
          <w:szCs w:val="28"/>
        </w:rPr>
        <w:t xml:space="preserve">16 March 2021 </w:t>
      </w:r>
    </w:p>
    <w:p w:rsidR="00633028" w:rsidRDefault="00633028" w:rsidP="00633028">
      <w:pPr>
        <w:jc w:val="center"/>
        <w:rPr>
          <w:sz w:val="32"/>
          <w:szCs w:val="32"/>
        </w:rPr>
      </w:pPr>
    </w:p>
    <w:p w:rsidR="00633028" w:rsidRPr="009B4C5B" w:rsidRDefault="00633028" w:rsidP="00633028">
      <w:pPr>
        <w:jc w:val="center"/>
        <w:rPr>
          <w:sz w:val="32"/>
          <w:szCs w:val="32"/>
        </w:rPr>
      </w:pPr>
    </w:p>
    <w:p w:rsidR="00633028" w:rsidRPr="009B4C5B" w:rsidRDefault="00633028" w:rsidP="00633028">
      <w:pPr>
        <w:jc w:val="center"/>
        <w:rPr>
          <w:sz w:val="32"/>
          <w:szCs w:val="32"/>
        </w:rPr>
      </w:pPr>
    </w:p>
    <w:p w:rsidR="00633028" w:rsidRPr="009B4C5B" w:rsidRDefault="00633028" w:rsidP="00633028">
      <w:pPr>
        <w:jc w:val="center"/>
        <w:rPr>
          <w:sz w:val="32"/>
          <w:szCs w:val="32"/>
        </w:rPr>
      </w:pPr>
    </w:p>
    <w:p w:rsidR="00633028" w:rsidRDefault="00633028" w:rsidP="00633028"/>
    <w:p w:rsidR="00633028" w:rsidRDefault="00633028" w:rsidP="00633028"/>
    <w:p w:rsidR="00633028" w:rsidRDefault="00633028" w:rsidP="00633028"/>
    <w:p w:rsidR="00633028" w:rsidRPr="009B4C5B" w:rsidRDefault="00633028" w:rsidP="00633028">
      <w:pPr>
        <w:jc w:val="both"/>
      </w:pPr>
      <w:bookmarkStart w:id="1" w:name="_GoBack"/>
      <w:bookmarkEnd w:id="1"/>
      <w:r w:rsidRPr="009B4C5B">
        <w:rPr>
          <w:b/>
          <w:bCs/>
        </w:rPr>
        <w:lastRenderedPageBreak/>
        <w:t xml:space="preserve">Background and Purpose of the Household Means </w:t>
      </w:r>
    </w:p>
    <w:p w:rsidR="00633028" w:rsidRPr="009B4C5B" w:rsidRDefault="00633028" w:rsidP="00633028">
      <w:pPr>
        <w:jc w:val="both"/>
      </w:pPr>
      <w:r w:rsidRPr="009B4C5B">
        <w:t xml:space="preserve">This policy sets out the manner in which local authorities will assess the means of applicant households for the purpose of determining the household’s ability to provide accommodation from its own means and by extension its eligibility, or otherwise, for social housing support. </w:t>
      </w:r>
    </w:p>
    <w:p w:rsidR="00633028" w:rsidRPr="009B4C5B" w:rsidRDefault="00633028" w:rsidP="00633028">
      <w:pPr>
        <w:jc w:val="both"/>
      </w:pPr>
      <w:r w:rsidRPr="009B4C5B">
        <w:t xml:space="preserve">The requirement to adhere to the household means policy in assessing applicants for social housing support is set out in Regulation 17 of the Social Housing Assessment Regulations 2011, which provides that the income of a household shall be calculated for the purposes of those Regulations in accordance with written guidance issued by the Minister to local authorities (in the Regulations referred to as a “household means policy”). </w:t>
      </w:r>
    </w:p>
    <w:p w:rsidR="00633028" w:rsidRPr="009B4C5B" w:rsidRDefault="00633028" w:rsidP="00633028">
      <w:pPr>
        <w:jc w:val="both"/>
      </w:pPr>
      <w:r w:rsidRPr="009B4C5B">
        <w:rPr>
          <w:b/>
          <w:bCs/>
        </w:rPr>
        <w:t xml:space="preserve">2. Income assessed is net income </w:t>
      </w:r>
    </w:p>
    <w:p w:rsidR="00633028" w:rsidRPr="009B4C5B" w:rsidRDefault="00633028" w:rsidP="00633028">
      <w:pPr>
        <w:jc w:val="both"/>
      </w:pPr>
      <w:r w:rsidRPr="009B4C5B">
        <w:t xml:space="preserve">The income threshold is the basic measure of whether a household is eligible for social housing support. The determination of whether an applicant household meets the income criteria is based on a calculation of their preceding 12 months’ net average income prior to the date of receipt of application. Net income means that income tax, Universal Social Charge, PRSI and Additional Superannuation Contribution (ASC) are deducted from the relevant assessable gross income. The income of all persons aged 18 years and over included in a social housing application shall be assessed for the purposes of determining whether an applicant household meets the income requirements. </w:t>
      </w:r>
    </w:p>
    <w:p w:rsidR="00633028" w:rsidRPr="009B4C5B" w:rsidRDefault="00633028" w:rsidP="00633028">
      <w:pPr>
        <w:jc w:val="both"/>
      </w:pPr>
      <w:r w:rsidRPr="009B4C5B">
        <w:rPr>
          <w:b/>
          <w:bCs/>
        </w:rPr>
        <w:t xml:space="preserve">3. Income that is assessable in considering social housing applications </w:t>
      </w:r>
    </w:p>
    <w:p w:rsidR="00633028" w:rsidRPr="009B4C5B" w:rsidRDefault="00633028" w:rsidP="00633028">
      <w:pPr>
        <w:jc w:val="both"/>
      </w:pPr>
      <w:r w:rsidRPr="009B4C5B">
        <w:t xml:space="preserve">Subject to what follows in the paragraphs below, the following incomes are assessable for the purposes of assessing eligibility for social housing support; </w:t>
      </w:r>
    </w:p>
    <w:p w:rsidR="00633028" w:rsidRPr="009B4C5B" w:rsidRDefault="00633028" w:rsidP="00633028">
      <w:pPr>
        <w:pStyle w:val="ListParagraph"/>
        <w:numPr>
          <w:ilvl w:val="0"/>
          <w:numId w:val="6"/>
        </w:numPr>
        <w:jc w:val="both"/>
      </w:pPr>
      <w:r w:rsidRPr="009B4C5B">
        <w:t xml:space="preserve">income from employment including overtime, bonuses and commissions; </w:t>
      </w:r>
    </w:p>
    <w:p w:rsidR="00633028" w:rsidRPr="009B4C5B" w:rsidRDefault="00633028" w:rsidP="00633028">
      <w:pPr>
        <w:pStyle w:val="ListParagraph"/>
        <w:numPr>
          <w:ilvl w:val="0"/>
          <w:numId w:val="6"/>
        </w:numPr>
        <w:jc w:val="both"/>
      </w:pPr>
      <w:r w:rsidRPr="009B4C5B">
        <w:t xml:space="preserve">overtime payments, commissions and bonuses will be assessable as follows: </w:t>
      </w:r>
    </w:p>
    <w:p w:rsidR="00633028" w:rsidRPr="009B4C5B" w:rsidRDefault="00633028" w:rsidP="00633028">
      <w:pPr>
        <w:pStyle w:val="ListParagraph"/>
        <w:numPr>
          <w:ilvl w:val="1"/>
          <w:numId w:val="6"/>
        </w:numPr>
        <w:jc w:val="both"/>
      </w:pPr>
      <w:r w:rsidRPr="009B4C5B">
        <w:t xml:space="preserve">overtime – generally restricted to a maximum of 10% of basic income, but regular overtime may be taken into account; </w:t>
      </w:r>
    </w:p>
    <w:p w:rsidR="00633028" w:rsidRPr="009B4C5B" w:rsidRDefault="00633028" w:rsidP="00633028">
      <w:pPr>
        <w:pStyle w:val="ListParagraph"/>
        <w:numPr>
          <w:ilvl w:val="1"/>
          <w:numId w:val="6"/>
        </w:numPr>
        <w:jc w:val="both"/>
      </w:pPr>
      <w:r w:rsidRPr="009B4C5B">
        <w:t xml:space="preserve">bonus – restricted to a maximum of 10% of basic income; </w:t>
      </w:r>
    </w:p>
    <w:p w:rsidR="00633028" w:rsidRPr="009B4C5B" w:rsidRDefault="00633028" w:rsidP="00633028">
      <w:pPr>
        <w:pStyle w:val="ListParagraph"/>
        <w:numPr>
          <w:ilvl w:val="1"/>
          <w:numId w:val="6"/>
        </w:numPr>
        <w:jc w:val="both"/>
      </w:pPr>
      <w:r w:rsidRPr="009B4C5B">
        <w:t xml:space="preserve">commission – restricted to a maximum of 30% of basic income, where applicable; </w:t>
      </w:r>
    </w:p>
    <w:p w:rsidR="00633028" w:rsidRPr="009B4C5B" w:rsidRDefault="00633028" w:rsidP="00633028">
      <w:pPr>
        <w:pStyle w:val="ListParagraph"/>
        <w:numPr>
          <w:ilvl w:val="0"/>
          <w:numId w:val="6"/>
        </w:numPr>
        <w:jc w:val="both"/>
      </w:pPr>
      <w:r w:rsidRPr="009B4C5B">
        <w:t xml:space="preserve">income from self-employment; </w:t>
      </w:r>
    </w:p>
    <w:p w:rsidR="00633028" w:rsidRPr="009B4C5B" w:rsidRDefault="00633028" w:rsidP="00633028">
      <w:pPr>
        <w:pStyle w:val="ListParagraph"/>
        <w:numPr>
          <w:ilvl w:val="0"/>
          <w:numId w:val="6"/>
        </w:numPr>
        <w:jc w:val="both"/>
      </w:pPr>
      <w:r w:rsidRPr="009B4C5B">
        <w:t xml:space="preserve">maintenance payments received, (subject to the criteria set out in the guidance notes which accompany this means policy); </w:t>
      </w:r>
    </w:p>
    <w:p w:rsidR="00633028" w:rsidRPr="009B4C5B" w:rsidRDefault="00633028" w:rsidP="00633028">
      <w:pPr>
        <w:pStyle w:val="ListParagraph"/>
        <w:numPr>
          <w:ilvl w:val="0"/>
          <w:numId w:val="6"/>
        </w:numPr>
        <w:jc w:val="both"/>
      </w:pPr>
      <w:r w:rsidRPr="009B4C5B">
        <w:t xml:space="preserve">income from rental properties, dividends, capital investments and other similar sources of income; </w:t>
      </w:r>
    </w:p>
    <w:p w:rsidR="00633028" w:rsidRPr="009B4C5B" w:rsidRDefault="00633028" w:rsidP="00633028">
      <w:pPr>
        <w:pStyle w:val="ListParagraph"/>
        <w:numPr>
          <w:ilvl w:val="0"/>
          <w:numId w:val="6"/>
        </w:numPr>
        <w:jc w:val="both"/>
      </w:pPr>
      <w:r w:rsidRPr="009B4C5B">
        <w:t xml:space="preserve">occupational and social welfare pensions, from whatever source, including from abroad, and </w:t>
      </w:r>
    </w:p>
    <w:p w:rsidR="00633028" w:rsidRPr="009B4C5B" w:rsidRDefault="00633028" w:rsidP="00633028">
      <w:pPr>
        <w:jc w:val="both"/>
      </w:pPr>
    </w:p>
    <w:p w:rsidR="00633028" w:rsidRPr="009B4C5B" w:rsidRDefault="00633028" w:rsidP="00633028">
      <w:pPr>
        <w:jc w:val="both"/>
      </w:pPr>
    </w:p>
    <w:p w:rsidR="00633028" w:rsidRPr="009B4C5B" w:rsidRDefault="00633028" w:rsidP="00633028">
      <w:pPr>
        <w:jc w:val="both"/>
      </w:pPr>
    </w:p>
    <w:p w:rsidR="00633028" w:rsidRPr="009B4C5B" w:rsidRDefault="00633028" w:rsidP="00633028">
      <w:pPr>
        <w:pStyle w:val="ListParagraph"/>
        <w:numPr>
          <w:ilvl w:val="0"/>
          <w:numId w:val="6"/>
        </w:numPr>
        <w:jc w:val="both"/>
      </w:pPr>
      <w:proofErr w:type="gramStart"/>
      <w:r w:rsidRPr="009B4C5B">
        <w:lastRenderedPageBreak/>
        <w:t>with</w:t>
      </w:r>
      <w:proofErr w:type="gramEnd"/>
      <w:r w:rsidRPr="009B4C5B">
        <w:t xml:space="preserve"> the exception of the specific payments listed in paragraph 4 below as being disregarded, all income from social insurance and social assistance payments, allowances and benefits, including Working Family Payment, is assessable. </w:t>
      </w:r>
    </w:p>
    <w:p w:rsidR="00633028" w:rsidRPr="009B4C5B" w:rsidRDefault="00633028" w:rsidP="00633028">
      <w:pPr>
        <w:jc w:val="both"/>
      </w:pPr>
    </w:p>
    <w:p w:rsidR="00633028" w:rsidRPr="009B4C5B" w:rsidRDefault="00633028" w:rsidP="00633028">
      <w:pPr>
        <w:jc w:val="both"/>
      </w:pPr>
      <w:r w:rsidRPr="009B4C5B">
        <w:rPr>
          <w:b/>
          <w:bCs/>
        </w:rPr>
        <w:t xml:space="preserve">4. Income that is not assessable </w:t>
      </w:r>
    </w:p>
    <w:p w:rsidR="00633028" w:rsidRPr="009B4C5B" w:rsidRDefault="00633028" w:rsidP="00633028">
      <w:pPr>
        <w:jc w:val="both"/>
      </w:pPr>
      <w:r w:rsidRPr="009B4C5B">
        <w:t xml:space="preserve">In assessing household income for the purposes of the household means policy, a local authority may decide to disregard income that is once-off, temporary or short-term in nature and which is outside the regular pattern of a person’s annual income. </w:t>
      </w:r>
    </w:p>
    <w:p w:rsidR="00633028" w:rsidRPr="009B4C5B" w:rsidRDefault="00633028" w:rsidP="00633028">
      <w:pPr>
        <w:jc w:val="both"/>
      </w:pPr>
      <w:r w:rsidRPr="009B4C5B">
        <w:t xml:space="preserve">Income from the following sources shall, in all cases, be disregarded for the purposes of assessing income: </w:t>
      </w:r>
    </w:p>
    <w:p w:rsidR="00633028" w:rsidRPr="009B4C5B" w:rsidRDefault="00633028" w:rsidP="00633028">
      <w:pPr>
        <w:jc w:val="both"/>
      </w:pPr>
      <w:r w:rsidRPr="009B4C5B">
        <w:rPr>
          <w:b/>
          <w:bCs/>
        </w:rPr>
        <w:t xml:space="preserve">(a) </w:t>
      </w:r>
      <w:r w:rsidRPr="009B4C5B">
        <w:t xml:space="preserve">Payments by the Department of Social Protection under the Social Welfare Acts in respect of— </w:t>
      </w:r>
    </w:p>
    <w:p w:rsidR="00633028" w:rsidRPr="009B4C5B" w:rsidRDefault="00633028" w:rsidP="00633028">
      <w:pPr>
        <w:spacing w:line="240" w:lineRule="auto"/>
        <w:jc w:val="both"/>
      </w:pPr>
      <w:r w:rsidRPr="009B4C5B">
        <w:t>(</w:t>
      </w:r>
      <w:proofErr w:type="spellStart"/>
      <w:r w:rsidRPr="009B4C5B">
        <w:t>i</w:t>
      </w:r>
      <w:proofErr w:type="spellEnd"/>
      <w:r w:rsidRPr="009B4C5B">
        <w:t xml:space="preserve">) Child Benefit </w:t>
      </w:r>
    </w:p>
    <w:p w:rsidR="00633028" w:rsidRPr="009B4C5B" w:rsidRDefault="00633028" w:rsidP="00633028">
      <w:pPr>
        <w:spacing w:line="240" w:lineRule="auto"/>
        <w:jc w:val="both"/>
      </w:pPr>
      <w:r w:rsidRPr="009B4C5B">
        <w:t xml:space="preserve">(ii) Guardian’s Payments (Contributory) </w:t>
      </w:r>
    </w:p>
    <w:p w:rsidR="00633028" w:rsidRPr="009B4C5B" w:rsidRDefault="00633028" w:rsidP="00633028">
      <w:pPr>
        <w:spacing w:line="240" w:lineRule="auto"/>
        <w:jc w:val="both"/>
      </w:pPr>
      <w:r w:rsidRPr="009B4C5B">
        <w:t xml:space="preserve">(iii) Guardian’s Payments (Non Contributory) </w:t>
      </w:r>
    </w:p>
    <w:p w:rsidR="00633028" w:rsidRPr="009B4C5B" w:rsidRDefault="00633028" w:rsidP="00633028">
      <w:pPr>
        <w:spacing w:line="240" w:lineRule="auto"/>
        <w:jc w:val="both"/>
      </w:pPr>
      <w:r w:rsidRPr="009B4C5B">
        <w:t xml:space="preserve">(iv) Carer's Allowance, full or half rate </w:t>
      </w:r>
    </w:p>
    <w:p w:rsidR="00633028" w:rsidRPr="009B4C5B" w:rsidRDefault="00633028" w:rsidP="00633028">
      <w:pPr>
        <w:spacing w:line="240" w:lineRule="auto"/>
        <w:jc w:val="both"/>
      </w:pPr>
      <w:r w:rsidRPr="009B4C5B">
        <w:t xml:space="preserve">(v) Carer's Benefit </w:t>
      </w:r>
    </w:p>
    <w:p w:rsidR="00633028" w:rsidRPr="009B4C5B" w:rsidRDefault="00633028" w:rsidP="00633028">
      <w:pPr>
        <w:spacing w:line="240" w:lineRule="auto"/>
        <w:jc w:val="both"/>
      </w:pPr>
      <w:r w:rsidRPr="009B4C5B">
        <w:t xml:space="preserve">(vi) Domiciliary Care Allowance </w:t>
      </w:r>
    </w:p>
    <w:p w:rsidR="00633028" w:rsidRPr="009B4C5B" w:rsidRDefault="00633028" w:rsidP="00633028">
      <w:pPr>
        <w:spacing w:line="240" w:lineRule="auto"/>
        <w:jc w:val="both"/>
      </w:pPr>
      <w:r w:rsidRPr="009B4C5B">
        <w:t xml:space="preserve">(vii) Constant Attendance Allowance </w:t>
      </w:r>
    </w:p>
    <w:p w:rsidR="00633028" w:rsidRPr="009B4C5B" w:rsidRDefault="00633028" w:rsidP="00633028">
      <w:pPr>
        <w:spacing w:line="240" w:lineRule="auto"/>
        <w:jc w:val="both"/>
      </w:pPr>
      <w:r w:rsidRPr="009B4C5B">
        <w:t xml:space="preserve">(viii) Prescribed Relatives Allowance </w:t>
      </w:r>
    </w:p>
    <w:p w:rsidR="00633028" w:rsidRPr="009B4C5B" w:rsidRDefault="00633028" w:rsidP="00633028">
      <w:pPr>
        <w:spacing w:line="240" w:lineRule="auto"/>
        <w:jc w:val="both"/>
      </w:pPr>
      <w:r w:rsidRPr="009B4C5B">
        <w:t xml:space="preserve">(ix) Electricity or Gas Allowance </w:t>
      </w:r>
    </w:p>
    <w:p w:rsidR="00633028" w:rsidRPr="009B4C5B" w:rsidRDefault="00633028" w:rsidP="00633028">
      <w:pPr>
        <w:spacing w:line="240" w:lineRule="auto"/>
        <w:jc w:val="both"/>
      </w:pPr>
      <w:r w:rsidRPr="009B4C5B">
        <w:t xml:space="preserve">(x) Fuel Allowance </w:t>
      </w:r>
    </w:p>
    <w:p w:rsidR="00633028" w:rsidRPr="009B4C5B" w:rsidRDefault="00633028" w:rsidP="00633028">
      <w:pPr>
        <w:spacing w:line="240" w:lineRule="auto"/>
        <w:jc w:val="both"/>
      </w:pPr>
      <w:r w:rsidRPr="009B4C5B">
        <w:t xml:space="preserve">(xi) Telephone Allowance </w:t>
      </w:r>
    </w:p>
    <w:p w:rsidR="00633028" w:rsidRPr="009B4C5B" w:rsidRDefault="00633028" w:rsidP="00633028">
      <w:pPr>
        <w:spacing w:line="240" w:lineRule="auto"/>
        <w:jc w:val="both"/>
      </w:pPr>
      <w:r w:rsidRPr="009B4C5B">
        <w:t xml:space="preserve">(xii) Increase for Living on a Specified Island </w:t>
      </w:r>
    </w:p>
    <w:p w:rsidR="00633028" w:rsidRPr="009B4C5B" w:rsidRDefault="00633028" w:rsidP="00633028">
      <w:pPr>
        <w:spacing w:line="240" w:lineRule="auto"/>
        <w:jc w:val="both"/>
      </w:pPr>
      <w:r w:rsidRPr="009B4C5B">
        <w:t xml:space="preserve">(xiii) Living Alone Allowance </w:t>
      </w:r>
    </w:p>
    <w:p w:rsidR="00633028" w:rsidRPr="009B4C5B" w:rsidRDefault="00633028" w:rsidP="00633028">
      <w:pPr>
        <w:spacing w:line="240" w:lineRule="auto"/>
        <w:jc w:val="both"/>
      </w:pPr>
      <w:r w:rsidRPr="009B4C5B">
        <w:t xml:space="preserve">(xiv) Dietary Supplement </w:t>
      </w:r>
    </w:p>
    <w:p w:rsidR="00633028" w:rsidRPr="009B4C5B" w:rsidRDefault="00633028" w:rsidP="00633028">
      <w:pPr>
        <w:spacing w:line="240" w:lineRule="auto"/>
        <w:jc w:val="both"/>
      </w:pPr>
      <w:r w:rsidRPr="009B4C5B">
        <w:t xml:space="preserve">(xv) Payments under Medical Care Scheme </w:t>
      </w:r>
    </w:p>
    <w:p w:rsidR="00633028" w:rsidRPr="009B4C5B" w:rsidRDefault="00633028" w:rsidP="00633028">
      <w:pPr>
        <w:spacing w:line="240" w:lineRule="auto"/>
        <w:jc w:val="both"/>
      </w:pPr>
      <w:r w:rsidRPr="009B4C5B">
        <w:t xml:space="preserve">(xvi) Back to Work Family Dividend </w:t>
      </w:r>
    </w:p>
    <w:p w:rsidR="00633028" w:rsidRPr="009B4C5B" w:rsidRDefault="00633028" w:rsidP="00633028">
      <w:pPr>
        <w:spacing w:line="240" w:lineRule="auto"/>
        <w:jc w:val="both"/>
      </w:pPr>
      <w:r w:rsidRPr="009B4C5B">
        <w:t xml:space="preserve">(xvii) Disablement Benefit/Pension </w:t>
      </w:r>
    </w:p>
    <w:p w:rsidR="00633028" w:rsidRPr="009B4C5B" w:rsidRDefault="00633028" w:rsidP="00633028">
      <w:pPr>
        <w:jc w:val="both"/>
      </w:pPr>
    </w:p>
    <w:p w:rsidR="00633028" w:rsidRPr="009B4C5B" w:rsidRDefault="00633028" w:rsidP="00633028">
      <w:pPr>
        <w:jc w:val="both"/>
      </w:pPr>
      <w:r w:rsidRPr="009B4C5B">
        <w:t xml:space="preserve">Once off payments or irregular payments, including e.g. Carer's Support Grant (formerly called Respite Care Grant), Training Support Grant, Back to School Clothing and Footwear Allowance, </w:t>
      </w:r>
      <w:r w:rsidRPr="009B4C5B">
        <w:lastRenderedPageBreak/>
        <w:t xml:space="preserve">Exceptional Needs Payment, Urgent Needs Payment, Humanitarian Assistance Scheme, Funeral grant. </w:t>
      </w:r>
    </w:p>
    <w:p w:rsidR="00633028" w:rsidRPr="009B4C5B" w:rsidRDefault="00633028" w:rsidP="00633028">
      <w:pPr>
        <w:jc w:val="both"/>
      </w:pPr>
      <w:r w:rsidRPr="009B4C5B">
        <w:rPr>
          <w:b/>
          <w:bCs/>
        </w:rPr>
        <w:t xml:space="preserve">(b) </w:t>
      </w:r>
      <w:r w:rsidRPr="009B4C5B">
        <w:t xml:space="preserve">Community employment schemes such as Community Employment Programme, Community Services Programme, Gateway, the Youth Employment Support Scheme, the Rural Social Scheme (RSS), </w:t>
      </w:r>
      <w:proofErr w:type="spellStart"/>
      <w:r w:rsidRPr="009B4C5B">
        <w:t>Tús</w:t>
      </w:r>
      <w:proofErr w:type="spellEnd"/>
      <w:r w:rsidRPr="009B4C5B">
        <w:t xml:space="preserve">; the amount of income in excess of the Supplementary Welfare rate. </w:t>
      </w:r>
    </w:p>
    <w:p w:rsidR="00633028" w:rsidRPr="009B4C5B" w:rsidRDefault="00633028" w:rsidP="00633028">
      <w:pPr>
        <w:jc w:val="both"/>
      </w:pPr>
      <w:r w:rsidRPr="009B4C5B">
        <w:rPr>
          <w:b/>
          <w:bCs/>
        </w:rPr>
        <w:t xml:space="preserve">(c) </w:t>
      </w:r>
      <w:r w:rsidRPr="009B4C5B">
        <w:t xml:space="preserve">Payments from the Department of Social Protection or the Department of Education / Department of Further and Higher Education, Research, Innovation and Science or any Government Department or state agency in respect of an education or training course: the amount of income in excess of the Supplementary Welfare rate. </w:t>
      </w:r>
    </w:p>
    <w:p w:rsidR="00633028" w:rsidRPr="009B4C5B" w:rsidRDefault="00633028" w:rsidP="00633028">
      <w:pPr>
        <w:jc w:val="both"/>
      </w:pPr>
      <w:r w:rsidRPr="009B4C5B">
        <w:rPr>
          <w:b/>
          <w:bCs/>
        </w:rPr>
        <w:t xml:space="preserve">(d) </w:t>
      </w:r>
      <w:r w:rsidRPr="009B4C5B">
        <w:t xml:space="preserve">Payments by the Health Service Executive in respect of— </w:t>
      </w:r>
    </w:p>
    <w:p w:rsidR="00633028" w:rsidRPr="009B4C5B" w:rsidRDefault="00633028" w:rsidP="00633028">
      <w:pPr>
        <w:spacing w:line="240" w:lineRule="auto"/>
        <w:jc w:val="both"/>
      </w:pPr>
      <w:r w:rsidRPr="009B4C5B">
        <w:t>(</w:t>
      </w:r>
      <w:proofErr w:type="spellStart"/>
      <w:r w:rsidRPr="009B4C5B">
        <w:t>i</w:t>
      </w:r>
      <w:proofErr w:type="spellEnd"/>
      <w:r w:rsidRPr="009B4C5B">
        <w:t xml:space="preserve">) Fostering Allowance </w:t>
      </w:r>
    </w:p>
    <w:p w:rsidR="00633028" w:rsidRPr="009B4C5B" w:rsidRDefault="00633028" w:rsidP="00633028">
      <w:pPr>
        <w:spacing w:line="240" w:lineRule="auto"/>
        <w:jc w:val="both"/>
      </w:pPr>
      <w:r w:rsidRPr="009B4C5B">
        <w:t xml:space="preserve">(ii) Blind Welfare Allowance </w:t>
      </w:r>
    </w:p>
    <w:p w:rsidR="00633028" w:rsidRPr="009B4C5B" w:rsidRDefault="00633028" w:rsidP="00633028">
      <w:pPr>
        <w:spacing w:line="240" w:lineRule="auto"/>
        <w:jc w:val="both"/>
      </w:pPr>
      <w:r w:rsidRPr="009B4C5B">
        <w:t xml:space="preserve">(iii) Mobility allowance </w:t>
      </w:r>
    </w:p>
    <w:p w:rsidR="00633028" w:rsidRPr="009B4C5B" w:rsidRDefault="00633028" w:rsidP="00633028">
      <w:pPr>
        <w:jc w:val="both"/>
      </w:pPr>
    </w:p>
    <w:p w:rsidR="00633028" w:rsidRPr="009B4C5B" w:rsidRDefault="00633028" w:rsidP="00633028">
      <w:pPr>
        <w:spacing w:line="240" w:lineRule="auto"/>
        <w:jc w:val="both"/>
      </w:pPr>
      <w:r w:rsidRPr="009B4C5B">
        <w:rPr>
          <w:b/>
          <w:bCs/>
        </w:rPr>
        <w:t xml:space="preserve">(e) </w:t>
      </w:r>
      <w:r w:rsidRPr="009B4C5B">
        <w:t xml:space="preserve">Payments by the Department of Education, or under schemes funded by that Department, in respect of— </w:t>
      </w:r>
    </w:p>
    <w:p w:rsidR="00633028" w:rsidRPr="009B4C5B" w:rsidRDefault="00633028" w:rsidP="00633028">
      <w:pPr>
        <w:spacing w:line="240" w:lineRule="auto"/>
        <w:jc w:val="both"/>
      </w:pPr>
      <w:r w:rsidRPr="009B4C5B">
        <w:t>(</w:t>
      </w:r>
      <w:proofErr w:type="spellStart"/>
      <w:r w:rsidRPr="009B4C5B">
        <w:t>i</w:t>
      </w:r>
      <w:proofErr w:type="spellEnd"/>
      <w:r w:rsidRPr="009B4C5B">
        <w:t xml:space="preserve">) Student grants schemes </w:t>
      </w:r>
    </w:p>
    <w:p w:rsidR="00633028" w:rsidRPr="009B4C5B" w:rsidRDefault="00633028" w:rsidP="00633028">
      <w:pPr>
        <w:spacing w:line="240" w:lineRule="auto"/>
        <w:jc w:val="both"/>
      </w:pPr>
      <w:r w:rsidRPr="009B4C5B">
        <w:t xml:space="preserve">(ii) Home Tuition Scheme </w:t>
      </w:r>
    </w:p>
    <w:p w:rsidR="00633028" w:rsidRPr="009B4C5B" w:rsidRDefault="00633028" w:rsidP="00633028">
      <w:pPr>
        <w:spacing w:line="240" w:lineRule="auto"/>
        <w:jc w:val="both"/>
      </w:pPr>
      <w:r w:rsidRPr="009B4C5B">
        <w:t xml:space="preserve">(iii) </w:t>
      </w:r>
      <w:proofErr w:type="spellStart"/>
      <w:r w:rsidRPr="009B4C5B">
        <w:t>Youthreach</w:t>
      </w:r>
      <w:proofErr w:type="spellEnd"/>
      <w:r w:rsidRPr="009B4C5B">
        <w:t xml:space="preserve"> training allowance </w:t>
      </w:r>
    </w:p>
    <w:p w:rsidR="00633028" w:rsidRPr="009B4C5B" w:rsidRDefault="00633028" w:rsidP="00633028">
      <w:pPr>
        <w:jc w:val="both"/>
      </w:pPr>
    </w:p>
    <w:p w:rsidR="00633028" w:rsidRPr="009B4C5B" w:rsidRDefault="00633028" w:rsidP="00633028">
      <w:pPr>
        <w:jc w:val="both"/>
      </w:pPr>
      <w:r w:rsidRPr="009B4C5B">
        <w:rPr>
          <w:b/>
          <w:bCs/>
        </w:rPr>
        <w:t xml:space="preserve">(f) </w:t>
      </w:r>
      <w:r w:rsidRPr="009B4C5B">
        <w:t xml:space="preserve">Payments received as a training allowance while undergoing a course of rehabilitation training by an organisation approved by the Minister for Health; </w:t>
      </w:r>
    </w:p>
    <w:p w:rsidR="00633028" w:rsidRPr="009B4C5B" w:rsidRDefault="00633028" w:rsidP="00633028">
      <w:pPr>
        <w:jc w:val="both"/>
      </w:pPr>
      <w:r w:rsidRPr="009B4C5B">
        <w:rPr>
          <w:b/>
          <w:bCs/>
        </w:rPr>
        <w:t xml:space="preserve">The following miscellaneous payments: </w:t>
      </w:r>
    </w:p>
    <w:p w:rsidR="00633028" w:rsidRPr="009B4C5B" w:rsidRDefault="00633028" w:rsidP="00633028">
      <w:pPr>
        <w:jc w:val="both"/>
      </w:pPr>
      <w:r w:rsidRPr="009B4C5B">
        <w:rPr>
          <w:b/>
          <w:bCs/>
        </w:rPr>
        <w:t xml:space="preserve">(g) </w:t>
      </w:r>
      <w:r w:rsidRPr="009B4C5B">
        <w:t xml:space="preserve">Payments by charitable organisations, being bodies the activities of which are carried on otherwise than for profit (but excluding any local authority or other public authority) and one of the functions of which is to assist persons in need by making grants of money to them; </w:t>
      </w:r>
    </w:p>
    <w:p w:rsidR="00633028" w:rsidRPr="009B4C5B" w:rsidRDefault="00633028" w:rsidP="00633028">
      <w:pPr>
        <w:jc w:val="both"/>
      </w:pPr>
      <w:r w:rsidRPr="009B4C5B">
        <w:rPr>
          <w:b/>
          <w:bCs/>
        </w:rPr>
        <w:t xml:space="preserve">(h) </w:t>
      </w:r>
      <w:r w:rsidRPr="009B4C5B">
        <w:t xml:space="preserve">Payments made by another EU Member State and / or the United Kingdom (Common Travel Area) that correspond to Child Benefit; </w:t>
      </w:r>
    </w:p>
    <w:p w:rsidR="00633028" w:rsidRPr="009B4C5B" w:rsidRDefault="00633028" w:rsidP="00633028">
      <w:pPr>
        <w:jc w:val="both"/>
      </w:pPr>
      <w:r w:rsidRPr="009B4C5B">
        <w:rPr>
          <w:b/>
          <w:bCs/>
        </w:rPr>
        <w:t>(</w:t>
      </w:r>
      <w:proofErr w:type="spellStart"/>
      <w:r w:rsidRPr="009B4C5B">
        <w:rPr>
          <w:b/>
          <w:bCs/>
        </w:rPr>
        <w:t>i</w:t>
      </w:r>
      <w:proofErr w:type="spellEnd"/>
      <w:r w:rsidRPr="009B4C5B">
        <w:rPr>
          <w:b/>
          <w:bCs/>
        </w:rPr>
        <w:t xml:space="preserve">) </w:t>
      </w:r>
      <w:r w:rsidRPr="009B4C5B">
        <w:t xml:space="preserve">Scholarships in respect of attending approved courses provided by approved institutions, within the meaning of sections 7 and 8 of the Student Support Act 2011 (No. 4 of 2011), respectively; </w:t>
      </w:r>
    </w:p>
    <w:p w:rsidR="00633028" w:rsidRPr="009B4C5B" w:rsidRDefault="00633028" w:rsidP="00633028">
      <w:pPr>
        <w:jc w:val="both"/>
      </w:pPr>
      <w:r w:rsidRPr="009B4C5B">
        <w:rPr>
          <w:b/>
          <w:bCs/>
        </w:rPr>
        <w:t xml:space="preserve">(j) </w:t>
      </w:r>
      <w:r w:rsidRPr="009B4C5B">
        <w:t>Income earned by children.</w:t>
      </w:r>
    </w:p>
    <w:p w:rsidR="00633028" w:rsidRDefault="00633028" w:rsidP="00633028">
      <w:pPr>
        <w:jc w:val="center"/>
        <w:rPr>
          <w:b/>
          <w:bCs/>
          <w:sz w:val="32"/>
          <w:szCs w:val="32"/>
        </w:rPr>
      </w:pPr>
    </w:p>
    <w:sectPr w:rsidR="00633028" w:rsidSect="00221ED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F7886C7"/>
    <w:multiLevelType w:val="hybridMultilevel"/>
    <w:tmpl w:val="327346D5"/>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F3E083F"/>
    <w:multiLevelType w:val="hybridMultilevel"/>
    <w:tmpl w:val="2A1E1036"/>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
    <w:nsid w:val="37207C6D"/>
    <w:multiLevelType w:val="hybridMultilevel"/>
    <w:tmpl w:val="73C8383C"/>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3">
    <w:nsid w:val="43222255"/>
    <w:multiLevelType w:val="hybridMultilevel"/>
    <w:tmpl w:val="FCC48A7C"/>
    <w:lvl w:ilvl="0" w:tplc="91FAB5E4">
      <w:start w:val="1"/>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nsid w:val="46FE3774"/>
    <w:multiLevelType w:val="hybridMultilevel"/>
    <w:tmpl w:val="C40ED1C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751C069B"/>
    <w:multiLevelType w:val="hybridMultilevel"/>
    <w:tmpl w:val="E446D7BE"/>
    <w:lvl w:ilvl="0" w:tplc="5F083D2A">
      <w:start w:val="1"/>
      <w:numFmt w:val="upperLetter"/>
      <w:lvlText w:val="%1)"/>
      <w:lvlJc w:val="left"/>
      <w:pPr>
        <w:ind w:left="720" w:hanging="360"/>
      </w:pPr>
      <w:rPr>
        <w:rFonts w:asciiTheme="minorHAnsi" w:hAnsiTheme="minorHAnsi" w:cs="Arial" w:hint="default"/>
        <w:b/>
        <w:sz w:val="22"/>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479F"/>
    <w:rsid w:val="000A2072"/>
    <w:rsid w:val="000E4660"/>
    <w:rsid w:val="001D3517"/>
    <w:rsid w:val="00221ED3"/>
    <w:rsid w:val="003161C7"/>
    <w:rsid w:val="0033105B"/>
    <w:rsid w:val="0041216B"/>
    <w:rsid w:val="004653E5"/>
    <w:rsid w:val="004F68ED"/>
    <w:rsid w:val="00590404"/>
    <w:rsid w:val="005F5475"/>
    <w:rsid w:val="00633028"/>
    <w:rsid w:val="00A0428E"/>
    <w:rsid w:val="00A255B5"/>
    <w:rsid w:val="00A3503F"/>
    <w:rsid w:val="00A3778B"/>
    <w:rsid w:val="00A72AD8"/>
    <w:rsid w:val="00C0094A"/>
    <w:rsid w:val="00C7479F"/>
    <w:rsid w:val="00D05494"/>
    <w:rsid w:val="00D526F9"/>
    <w:rsid w:val="00D85ADA"/>
    <w:rsid w:val="00DE5C27"/>
    <w:rsid w:val="00E54502"/>
    <w:rsid w:val="00EC5818"/>
    <w:rsid w:val="00FD00ED"/>
    <w:rsid w:val="00FE154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7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7479F"/>
    <w:pPr>
      <w:spacing w:after="0" w:line="240" w:lineRule="auto"/>
      <w:jc w:val="center"/>
    </w:pPr>
    <w:rPr>
      <w:rFonts w:ascii="Times New Roman" w:eastAsia="Times New Roman" w:hAnsi="Times New Roman" w:cs="Times New Roman"/>
      <w:b/>
      <w:sz w:val="20"/>
      <w:szCs w:val="20"/>
      <w:u w:val="single"/>
      <w:lang w:val="en-GB"/>
    </w:rPr>
  </w:style>
  <w:style w:type="character" w:customStyle="1" w:styleId="TitleChar">
    <w:name w:val="Title Char"/>
    <w:basedOn w:val="DefaultParagraphFont"/>
    <w:link w:val="Title"/>
    <w:rsid w:val="00C7479F"/>
    <w:rPr>
      <w:rFonts w:ascii="Times New Roman" w:eastAsia="Times New Roman" w:hAnsi="Times New Roman" w:cs="Times New Roman"/>
      <w:b/>
      <w:sz w:val="20"/>
      <w:szCs w:val="20"/>
      <w:u w:val="single"/>
      <w:lang w:val="en-GB"/>
    </w:rPr>
  </w:style>
  <w:style w:type="paragraph" w:styleId="NoSpacing">
    <w:name w:val="No Spacing"/>
    <w:uiPriority w:val="1"/>
    <w:qFormat/>
    <w:rsid w:val="00C7479F"/>
    <w:pPr>
      <w:spacing w:after="0" w:line="240" w:lineRule="auto"/>
    </w:pPr>
  </w:style>
  <w:style w:type="paragraph" w:customStyle="1" w:styleId="Default">
    <w:name w:val="Default"/>
    <w:rsid w:val="00C7479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7479F"/>
    <w:pPr>
      <w:ind w:left="720"/>
      <w:contextualSpacing/>
    </w:pPr>
  </w:style>
  <w:style w:type="paragraph" w:styleId="BodyTextIndent2">
    <w:name w:val="Body Text Indent 2"/>
    <w:basedOn w:val="Normal"/>
    <w:link w:val="BodyTextIndent2Char"/>
    <w:rsid w:val="00C7479F"/>
    <w:pPr>
      <w:spacing w:after="0" w:line="240" w:lineRule="auto"/>
      <w:ind w:left="1440"/>
    </w:pPr>
    <w:rPr>
      <w:rFonts w:ascii="Times New Roman" w:eastAsia="Times New Roman" w:hAnsi="Times New Roman" w:cs="Times New Roman"/>
      <w:sz w:val="24"/>
      <w:szCs w:val="20"/>
      <w:lang w:val="en-GB"/>
    </w:rPr>
  </w:style>
  <w:style w:type="character" w:customStyle="1" w:styleId="BodyTextIndent2Char">
    <w:name w:val="Body Text Indent 2 Char"/>
    <w:basedOn w:val="DefaultParagraphFont"/>
    <w:link w:val="BodyTextIndent2"/>
    <w:rsid w:val="00C7479F"/>
    <w:rPr>
      <w:rFonts w:ascii="Times New Roman" w:eastAsia="Times New Roman" w:hAnsi="Times New Roman" w:cs="Times New Roman"/>
      <w:sz w:val="24"/>
      <w:szCs w:val="20"/>
      <w:lang w:val="en-GB"/>
    </w:rPr>
  </w:style>
  <w:style w:type="table" w:customStyle="1" w:styleId="LightList-Accent11">
    <w:name w:val="Light List - Accent 11"/>
    <w:basedOn w:val="TableNormal"/>
    <w:uiPriority w:val="61"/>
    <w:rsid w:val="00C7479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C74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7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dlc_DocId xmlns="e208e405-7f5c-4092-9d00-ae49e9a9738c">YNAFEP33AA7V-2345-335</_dlc_DocId>
    <_dlc_DocIdUrl xmlns="e208e405-7f5c-4092-9d00-ae49e9a9738c">
      <Url>http://intranet/HSGRNT/_layouts/15/DocIdRedir.aspx?ID=YNAFEP33AA7V-2345-335</Url>
      <Description>YNAFEP33AA7V-2345-335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5920B4ED419A40A36FA8FFD6B833DB" ma:contentTypeVersion="1" ma:contentTypeDescription="Create a new document." ma:contentTypeScope="" ma:versionID="ff14b6be844c3d87523f74621829ead2">
  <xsd:schema xmlns:xsd="http://www.w3.org/2001/XMLSchema" xmlns:p="http://schemas.microsoft.com/office/2006/metadata/properties" xmlns:ns2="e208e405-7f5c-4092-9d00-ae49e9a9738c" targetNamespace="http://schemas.microsoft.com/office/2006/metadata/properties" ma:root="true" ma:fieldsID="36550ac7033362f31ca0921fe5504de1" ns2:_="">
    <xsd:import namespace="e208e405-7f5c-4092-9d00-ae49e9a973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dms="http://schemas.microsoft.com/office/2006/documentManagement/types" targetNamespace="e208e405-7f5c-4092-9d00-ae49e9a9738c"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11FE436-CC22-453C-8149-2499509728BE}">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e208e405-7f5c-4092-9d00-ae49e9a9738c"/>
    <ds:schemaRef ds:uri="http://schemas.openxmlformats.org/package/2006/metadata/core-properties"/>
  </ds:schemaRefs>
</ds:datastoreItem>
</file>

<file path=customXml/itemProps2.xml><?xml version="1.0" encoding="utf-8"?>
<ds:datastoreItem xmlns:ds="http://schemas.openxmlformats.org/officeDocument/2006/customXml" ds:itemID="{AAB41294-7772-40D9-8605-5534E7653D27}">
  <ds:schemaRefs>
    <ds:schemaRef ds:uri="http://schemas.microsoft.com/sharepoint/events"/>
  </ds:schemaRefs>
</ds:datastoreItem>
</file>

<file path=customXml/itemProps3.xml><?xml version="1.0" encoding="utf-8"?>
<ds:datastoreItem xmlns:ds="http://schemas.openxmlformats.org/officeDocument/2006/customXml" ds:itemID="{54C48332-301D-48F7-876D-A57F2F6D2EA3}">
  <ds:schemaRefs>
    <ds:schemaRef ds:uri="http://schemas.microsoft.com/sharepoint/v3/contenttype/forms"/>
  </ds:schemaRefs>
</ds:datastoreItem>
</file>

<file path=customXml/itemProps4.xml><?xml version="1.0" encoding="utf-8"?>
<ds:datastoreItem xmlns:ds="http://schemas.openxmlformats.org/officeDocument/2006/customXml" ds:itemID="{FDE31585-5E57-4490-8573-7CCC3B29F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8e405-7f5c-4092-9d00-ae49e9a9738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1628</Words>
  <Characters>9283</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aflynn</dc:creator>
  <cp:lastModifiedBy>aflynn</cp:lastModifiedBy>
  <cp:revision>2</cp:revision>
  <dcterms:created xsi:type="dcterms:W3CDTF">2021-06-15T15:05:00Z</dcterms:created>
  <dcterms:modified xsi:type="dcterms:W3CDTF">2021-06-15T15:05:00Z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0x010100F35920B4ED419A40A36FA8FFD6B833DB</vt:lpwstr>
  </property>
  <property fmtid="{D5CDD505-2E9C-101B-9397-08002B2CF9AE}" pid="3" name="_dlc_DocIdItemGuid">
    <vt:lpwstr>daa67584-0f89-48c6-8d18-ca09ab39f54e</vt:lpwstr>
  </property>
</Properties>
</file>