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083DC" w14:textId="499C855F" w:rsidR="00601D17" w:rsidRPr="008B1EA3" w:rsidRDefault="00601D17" w:rsidP="001F0D39">
      <w:pPr>
        <w:ind w:right="-46"/>
        <w:contextualSpacing/>
        <w:rPr>
          <w:rFonts w:ascii="Century Gothic" w:hAnsi="Century Gothic"/>
          <w:b/>
          <w:bCs/>
          <w:sz w:val="20"/>
          <w:szCs w:val="20"/>
        </w:rPr>
      </w:pPr>
      <w:r w:rsidRPr="008B1EA3">
        <w:rPr>
          <w:rFonts w:ascii="Century Gothic" w:hAnsi="Century Gothic"/>
          <w:b/>
          <w:bCs/>
          <w:sz w:val="20"/>
          <w:szCs w:val="20"/>
        </w:rPr>
        <w:t xml:space="preserve">Proposal re </w:t>
      </w:r>
      <w:r w:rsidR="008B1EA3" w:rsidRPr="008B1EA3">
        <w:rPr>
          <w:rFonts w:ascii="Century Gothic" w:hAnsi="Century Gothic"/>
          <w:b/>
          <w:bCs/>
          <w:sz w:val="20"/>
          <w:szCs w:val="20"/>
        </w:rPr>
        <w:t>Supplementary</w:t>
      </w:r>
      <w:r w:rsidRPr="008B1EA3">
        <w:rPr>
          <w:rFonts w:ascii="Century Gothic" w:hAnsi="Century Gothic"/>
          <w:b/>
          <w:bCs/>
          <w:sz w:val="20"/>
          <w:szCs w:val="20"/>
        </w:rPr>
        <w:t xml:space="preserve"> Festival &amp; Event Funding 2024</w:t>
      </w:r>
    </w:p>
    <w:p w14:paraId="23984EA9" w14:textId="77777777" w:rsidR="008B1EA3" w:rsidRPr="008B1EA3" w:rsidRDefault="008B1EA3" w:rsidP="001F0D39">
      <w:pPr>
        <w:ind w:right="-46"/>
        <w:contextualSpacing/>
        <w:rPr>
          <w:rFonts w:ascii="Century Gothic" w:hAnsi="Century Gothic"/>
          <w:sz w:val="20"/>
          <w:szCs w:val="20"/>
        </w:rPr>
      </w:pPr>
    </w:p>
    <w:p w14:paraId="3820EE3B" w14:textId="68111049" w:rsidR="008B1EA3" w:rsidRPr="008B1EA3" w:rsidRDefault="008B1EA3" w:rsidP="001F0D39">
      <w:pPr>
        <w:ind w:right="-46"/>
        <w:contextualSpacing/>
        <w:rPr>
          <w:rFonts w:ascii="Century Gothic" w:hAnsi="Century Gothic"/>
          <w:sz w:val="20"/>
          <w:szCs w:val="20"/>
        </w:rPr>
      </w:pPr>
      <w:r w:rsidRPr="008B1EA3">
        <w:rPr>
          <w:rFonts w:ascii="Century Gothic" w:hAnsi="Century Gothic"/>
          <w:sz w:val="20"/>
          <w:szCs w:val="20"/>
        </w:rPr>
        <w:t xml:space="preserve">Following a review of festivals who </w:t>
      </w:r>
      <w:r>
        <w:rPr>
          <w:rFonts w:ascii="Century Gothic" w:hAnsi="Century Gothic"/>
          <w:sz w:val="20"/>
          <w:szCs w:val="20"/>
        </w:rPr>
        <w:t xml:space="preserve">failed to </w:t>
      </w:r>
      <w:r w:rsidR="00D6236B">
        <w:rPr>
          <w:rFonts w:ascii="Century Gothic" w:hAnsi="Century Gothic"/>
          <w:sz w:val="20"/>
          <w:szCs w:val="20"/>
        </w:rPr>
        <w:t>apply</w:t>
      </w:r>
      <w:r>
        <w:rPr>
          <w:rFonts w:ascii="Century Gothic" w:hAnsi="Century Gothic"/>
          <w:sz w:val="20"/>
          <w:szCs w:val="20"/>
        </w:rPr>
        <w:t xml:space="preserve"> and </w:t>
      </w:r>
      <w:r w:rsidRPr="008B1EA3">
        <w:rPr>
          <w:rFonts w:ascii="Century Gothic" w:hAnsi="Century Gothic"/>
          <w:sz w:val="20"/>
          <w:szCs w:val="20"/>
        </w:rPr>
        <w:t xml:space="preserve">were </w:t>
      </w:r>
      <w:r>
        <w:rPr>
          <w:rFonts w:ascii="Century Gothic" w:hAnsi="Century Gothic"/>
          <w:sz w:val="20"/>
          <w:szCs w:val="20"/>
        </w:rPr>
        <w:t xml:space="preserve">subsequently </w:t>
      </w:r>
      <w:r w:rsidRPr="008B1EA3">
        <w:rPr>
          <w:rFonts w:ascii="Century Gothic" w:hAnsi="Century Gothic"/>
          <w:sz w:val="20"/>
          <w:szCs w:val="20"/>
        </w:rPr>
        <w:t>not allocated funding as part of the 2024 Festival &amp; Events Funding process, a once off decision has been made to offer three festivals 50% of their funding sought in 2023 to assist in the hosting of their events</w:t>
      </w:r>
      <w:r>
        <w:rPr>
          <w:rFonts w:ascii="Century Gothic" w:hAnsi="Century Gothic"/>
          <w:sz w:val="20"/>
          <w:szCs w:val="20"/>
        </w:rPr>
        <w:t xml:space="preserve"> in 2024</w:t>
      </w:r>
      <w:r w:rsidRPr="008B1EA3">
        <w:rPr>
          <w:rFonts w:ascii="Century Gothic" w:hAnsi="Century Gothic"/>
          <w:sz w:val="20"/>
          <w:szCs w:val="20"/>
        </w:rPr>
        <w:t>.</w:t>
      </w:r>
    </w:p>
    <w:p w14:paraId="0D66910B" w14:textId="77777777" w:rsidR="008B1EA3" w:rsidRPr="008B1EA3" w:rsidRDefault="008B1EA3" w:rsidP="001F0D39">
      <w:pPr>
        <w:ind w:right="-46"/>
        <w:contextualSpacing/>
        <w:rPr>
          <w:rFonts w:ascii="Century Gothic" w:hAnsi="Century Gothic"/>
          <w:sz w:val="20"/>
          <w:szCs w:val="20"/>
        </w:rPr>
      </w:pPr>
    </w:p>
    <w:p w14:paraId="7EF4D80E" w14:textId="17714E88" w:rsidR="008B1EA3" w:rsidRDefault="008B1EA3" w:rsidP="001F0D39">
      <w:pPr>
        <w:ind w:right="-46"/>
        <w:contextualSpacing/>
        <w:rPr>
          <w:rFonts w:ascii="Century Gothic" w:hAnsi="Century Gothic"/>
          <w:sz w:val="20"/>
          <w:szCs w:val="20"/>
        </w:rPr>
      </w:pPr>
      <w:r w:rsidRPr="008B1EA3">
        <w:rPr>
          <w:rFonts w:ascii="Century Gothic" w:hAnsi="Century Gothic"/>
          <w:sz w:val="20"/>
          <w:szCs w:val="20"/>
        </w:rPr>
        <w:t xml:space="preserve">The organisers of </w:t>
      </w:r>
      <w:r>
        <w:rPr>
          <w:rFonts w:ascii="Century Gothic" w:hAnsi="Century Gothic"/>
          <w:sz w:val="20"/>
          <w:szCs w:val="20"/>
        </w:rPr>
        <w:t>these events were in contact with Waterford City &amp; County Council to advise that they had missed the deadline for submitting their applications but that it was their intention to proceed with their events in 2024</w:t>
      </w:r>
      <w:r w:rsidR="00D6236B">
        <w:rPr>
          <w:rFonts w:ascii="Century Gothic" w:hAnsi="Century Gothic"/>
          <w:sz w:val="20"/>
          <w:szCs w:val="20"/>
        </w:rPr>
        <w:t>, subject to funding</w:t>
      </w:r>
      <w:r>
        <w:rPr>
          <w:rFonts w:ascii="Century Gothic" w:hAnsi="Century Gothic"/>
          <w:sz w:val="20"/>
          <w:szCs w:val="20"/>
        </w:rPr>
        <w:t>.</w:t>
      </w:r>
    </w:p>
    <w:p w14:paraId="3041395A" w14:textId="77777777" w:rsidR="00D6236B" w:rsidRDefault="00D6236B" w:rsidP="001F0D39">
      <w:pPr>
        <w:ind w:right="-46"/>
        <w:contextualSpacing/>
        <w:rPr>
          <w:rFonts w:ascii="Century Gothic" w:hAnsi="Century Gothic"/>
          <w:sz w:val="20"/>
          <w:szCs w:val="20"/>
        </w:rPr>
      </w:pPr>
    </w:p>
    <w:p w14:paraId="035DC0D9" w14:textId="11F635C5" w:rsidR="001F0D39" w:rsidRDefault="001F0D39" w:rsidP="001F0D39">
      <w:pPr>
        <w:ind w:right="-46"/>
        <w:contextualSpacing/>
        <w:rPr>
          <w:rFonts w:ascii="Century Gothic" w:hAnsi="Century Gothic"/>
          <w:sz w:val="20"/>
          <w:szCs w:val="20"/>
        </w:rPr>
      </w:pPr>
      <w:r>
        <w:rPr>
          <w:rFonts w:ascii="Century Gothic" w:hAnsi="Century Gothic"/>
          <w:sz w:val="20"/>
          <w:szCs w:val="20"/>
        </w:rPr>
        <w:t>The three events that it is proposed to offer supplementary funding to are:</w:t>
      </w:r>
    </w:p>
    <w:p w14:paraId="01D5D237" w14:textId="77777777" w:rsidR="001F0D39" w:rsidRPr="00FE0D6C" w:rsidRDefault="001F0D39" w:rsidP="00FE0D6C">
      <w:pPr>
        <w:pStyle w:val="ListParagraph"/>
        <w:numPr>
          <w:ilvl w:val="0"/>
          <w:numId w:val="3"/>
        </w:numPr>
        <w:ind w:left="284" w:right="-46" w:hanging="284"/>
        <w:rPr>
          <w:rFonts w:ascii="Century Gothic" w:hAnsi="Century Gothic"/>
          <w:b/>
          <w:bCs/>
          <w:sz w:val="20"/>
          <w:szCs w:val="20"/>
        </w:rPr>
      </w:pPr>
      <w:r w:rsidRPr="00FE0D6C">
        <w:rPr>
          <w:rFonts w:ascii="Century Gothic" w:hAnsi="Century Gothic"/>
          <w:b/>
          <w:bCs/>
          <w:sz w:val="20"/>
          <w:szCs w:val="20"/>
        </w:rPr>
        <w:t>The Celtic Box Cup</w:t>
      </w:r>
    </w:p>
    <w:p w14:paraId="02EE3923" w14:textId="308B1EC4" w:rsidR="001F0D39" w:rsidRPr="001F0D39" w:rsidRDefault="001F0D39" w:rsidP="00FE0D6C">
      <w:pPr>
        <w:ind w:left="284" w:right="-46"/>
        <w:contextualSpacing/>
        <w:rPr>
          <w:rFonts w:ascii="Century Gothic" w:hAnsi="Century Gothic"/>
          <w:sz w:val="20"/>
          <w:szCs w:val="20"/>
        </w:rPr>
      </w:pPr>
      <w:r>
        <w:rPr>
          <w:rFonts w:ascii="Century Gothic" w:hAnsi="Century Gothic"/>
          <w:sz w:val="20"/>
          <w:szCs w:val="20"/>
        </w:rPr>
        <w:t>Established in 2013, The Celtic Box Cup is a t</w:t>
      </w:r>
      <w:r w:rsidRPr="001F0D39">
        <w:rPr>
          <w:rFonts w:ascii="Century Gothic" w:hAnsi="Century Gothic"/>
          <w:sz w:val="20"/>
          <w:szCs w:val="20"/>
        </w:rPr>
        <w:t xml:space="preserve">hree day </w:t>
      </w:r>
      <w:r w:rsidRPr="001F0D39">
        <w:rPr>
          <w:rFonts w:ascii="Century Gothic" w:hAnsi="Century Gothic"/>
          <w:sz w:val="20"/>
          <w:szCs w:val="20"/>
        </w:rPr>
        <w:t>international</w:t>
      </w:r>
      <w:r w:rsidRPr="001F0D39">
        <w:rPr>
          <w:rFonts w:ascii="Century Gothic" w:hAnsi="Century Gothic"/>
          <w:sz w:val="20"/>
          <w:szCs w:val="20"/>
        </w:rPr>
        <w:t xml:space="preserve"> boxing tournament. participants come from all over the World.</w:t>
      </w:r>
      <w:r>
        <w:rPr>
          <w:rFonts w:ascii="Century Gothic" w:hAnsi="Century Gothic"/>
          <w:sz w:val="20"/>
          <w:szCs w:val="20"/>
        </w:rPr>
        <w:t xml:space="preserve">  The event</w:t>
      </w:r>
      <w:r w:rsidRPr="001F0D39">
        <w:rPr>
          <w:rFonts w:ascii="Century Gothic" w:hAnsi="Century Gothic"/>
          <w:sz w:val="20"/>
          <w:szCs w:val="20"/>
        </w:rPr>
        <w:t xml:space="preserve"> cater</w:t>
      </w:r>
      <w:r>
        <w:rPr>
          <w:rFonts w:ascii="Century Gothic" w:hAnsi="Century Gothic"/>
          <w:sz w:val="20"/>
          <w:szCs w:val="20"/>
        </w:rPr>
        <w:t>s</w:t>
      </w:r>
      <w:r w:rsidRPr="001F0D39">
        <w:rPr>
          <w:rFonts w:ascii="Century Gothic" w:hAnsi="Century Gothic"/>
          <w:sz w:val="20"/>
          <w:szCs w:val="20"/>
        </w:rPr>
        <w:t xml:space="preserve"> for 300 plus boxers from novice up to </w:t>
      </w:r>
      <w:r>
        <w:rPr>
          <w:rFonts w:ascii="Century Gothic" w:hAnsi="Century Gothic"/>
          <w:sz w:val="20"/>
          <w:szCs w:val="20"/>
        </w:rPr>
        <w:t>e</w:t>
      </w:r>
      <w:r w:rsidRPr="001F0D39">
        <w:rPr>
          <w:rFonts w:ascii="Century Gothic" w:hAnsi="Century Gothic"/>
          <w:sz w:val="20"/>
          <w:szCs w:val="20"/>
        </w:rPr>
        <w:t>lite, male and female from youth upwards</w:t>
      </w:r>
      <w:r>
        <w:rPr>
          <w:rFonts w:ascii="Century Gothic" w:hAnsi="Century Gothic"/>
          <w:sz w:val="20"/>
          <w:szCs w:val="20"/>
        </w:rPr>
        <w:t xml:space="preserve"> and is Ireland’s premier international boxing tournament</w:t>
      </w:r>
      <w:r w:rsidRPr="001F0D39">
        <w:rPr>
          <w:rFonts w:ascii="Century Gothic" w:hAnsi="Century Gothic"/>
          <w:sz w:val="20"/>
          <w:szCs w:val="20"/>
        </w:rPr>
        <w:t>.</w:t>
      </w:r>
    </w:p>
    <w:p w14:paraId="0812AD31" w14:textId="77777777" w:rsidR="001F0D39" w:rsidRPr="001F0D39" w:rsidRDefault="001F0D39" w:rsidP="001F0D39">
      <w:pPr>
        <w:ind w:right="-46"/>
        <w:contextualSpacing/>
        <w:rPr>
          <w:rFonts w:ascii="Century Gothic" w:hAnsi="Century Gothic"/>
          <w:sz w:val="20"/>
          <w:szCs w:val="20"/>
        </w:rPr>
      </w:pPr>
    </w:p>
    <w:p w14:paraId="4F8AE120" w14:textId="77777777" w:rsidR="001F0D39" w:rsidRPr="001F0D39" w:rsidRDefault="001F0D39" w:rsidP="00FE0D6C">
      <w:pPr>
        <w:pStyle w:val="ListParagraph"/>
        <w:numPr>
          <w:ilvl w:val="0"/>
          <w:numId w:val="3"/>
        </w:numPr>
        <w:ind w:left="284" w:right="-46" w:hanging="284"/>
        <w:rPr>
          <w:rFonts w:ascii="Century Gothic" w:hAnsi="Century Gothic"/>
          <w:b/>
          <w:bCs/>
          <w:sz w:val="20"/>
          <w:szCs w:val="20"/>
        </w:rPr>
      </w:pPr>
      <w:r w:rsidRPr="001F0D39">
        <w:rPr>
          <w:rFonts w:ascii="Century Gothic" w:hAnsi="Century Gothic"/>
          <w:b/>
          <w:bCs/>
          <w:sz w:val="20"/>
          <w:szCs w:val="20"/>
        </w:rPr>
        <w:t>Tramore Christmas Festival</w:t>
      </w:r>
    </w:p>
    <w:p w14:paraId="1DEB60E9" w14:textId="77777777" w:rsidR="001F0D39" w:rsidRPr="001F0D39" w:rsidRDefault="001F0D39" w:rsidP="00FE0D6C">
      <w:pPr>
        <w:ind w:left="284" w:right="-46"/>
        <w:contextualSpacing/>
        <w:rPr>
          <w:rFonts w:ascii="Century Gothic" w:hAnsi="Century Gothic"/>
          <w:sz w:val="20"/>
          <w:szCs w:val="20"/>
        </w:rPr>
      </w:pPr>
      <w:r>
        <w:rPr>
          <w:rFonts w:ascii="Century Gothic" w:hAnsi="Century Gothic"/>
          <w:sz w:val="20"/>
          <w:szCs w:val="20"/>
        </w:rPr>
        <w:t>Tramore Christmas Festival started in 2019 and aims to bring a</w:t>
      </w:r>
      <w:r w:rsidRPr="001F0D39">
        <w:rPr>
          <w:rFonts w:ascii="Century Gothic" w:hAnsi="Century Gothic"/>
          <w:sz w:val="20"/>
          <w:szCs w:val="20"/>
        </w:rPr>
        <w:t> festive atmosphere to Tramore for the month of December through carnival style events, live music, children's activities, lighting installations and campaigns to support shop local.</w:t>
      </w:r>
    </w:p>
    <w:p w14:paraId="69F19B91" w14:textId="77777777" w:rsidR="001F0D39" w:rsidRPr="001F0D39" w:rsidRDefault="001F0D39" w:rsidP="001F0D39">
      <w:pPr>
        <w:ind w:right="-46"/>
        <w:contextualSpacing/>
        <w:rPr>
          <w:rFonts w:ascii="Century Gothic" w:hAnsi="Century Gothic"/>
          <w:sz w:val="20"/>
          <w:szCs w:val="20"/>
        </w:rPr>
      </w:pPr>
    </w:p>
    <w:p w14:paraId="74E9EA1B" w14:textId="77777777" w:rsidR="001F0D39" w:rsidRPr="001F0D39" w:rsidRDefault="001F0D39" w:rsidP="00FE0D6C">
      <w:pPr>
        <w:pStyle w:val="ListParagraph"/>
        <w:numPr>
          <w:ilvl w:val="0"/>
          <w:numId w:val="3"/>
        </w:numPr>
        <w:ind w:left="284" w:right="-46" w:hanging="284"/>
        <w:rPr>
          <w:rFonts w:ascii="Century Gothic" w:hAnsi="Century Gothic"/>
          <w:b/>
          <w:bCs/>
          <w:sz w:val="20"/>
          <w:szCs w:val="20"/>
        </w:rPr>
      </w:pPr>
      <w:r w:rsidRPr="001F0D39">
        <w:rPr>
          <w:rFonts w:ascii="Century Gothic" w:hAnsi="Century Gothic"/>
          <w:b/>
          <w:bCs/>
          <w:sz w:val="20"/>
          <w:szCs w:val="20"/>
        </w:rPr>
        <w:t xml:space="preserve">Vitamin Sea Fest </w:t>
      </w:r>
    </w:p>
    <w:p w14:paraId="4CC7053E" w14:textId="77777777" w:rsidR="001F0D39" w:rsidRPr="008B1EA3" w:rsidRDefault="001F0D39" w:rsidP="00FE0D6C">
      <w:pPr>
        <w:ind w:left="284" w:right="-46"/>
        <w:contextualSpacing/>
        <w:rPr>
          <w:rFonts w:ascii="Century Gothic" w:hAnsi="Century Gothic"/>
          <w:sz w:val="20"/>
          <w:szCs w:val="20"/>
        </w:rPr>
      </w:pPr>
      <w:r>
        <w:rPr>
          <w:rFonts w:ascii="Century Gothic" w:hAnsi="Century Gothic"/>
          <w:sz w:val="20"/>
          <w:szCs w:val="20"/>
        </w:rPr>
        <w:t xml:space="preserve">Vitamin Sea Fest started in 2019 and is an </w:t>
      </w:r>
      <w:r w:rsidRPr="001F0D39">
        <w:rPr>
          <w:rFonts w:ascii="Century Gothic" w:hAnsi="Century Gothic"/>
          <w:sz w:val="20"/>
          <w:szCs w:val="20"/>
        </w:rPr>
        <w:t>annual weekend of food events and outdoor activities to showcase the producers, businesses and beauty of Tramore's town and coastline</w:t>
      </w:r>
      <w:r>
        <w:rPr>
          <w:rFonts w:ascii="Century Gothic" w:hAnsi="Century Gothic"/>
          <w:sz w:val="20"/>
          <w:szCs w:val="20"/>
        </w:rPr>
        <w:t>.</w:t>
      </w:r>
    </w:p>
    <w:p w14:paraId="2C061EBC" w14:textId="77777777" w:rsidR="001F0D39" w:rsidRDefault="001F0D39" w:rsidP="001F0D39">
      <w:pPr>
        <w:ind w:right="-46"/>
        <w:contextualSpacing/>
        <w:rPr>
          <w:rFonts w:ascii="Century Gothic" w:hAnsi="Century Gothic"/>
          <w:sz w:val="20"/>
          <w:szCs w:val="20"/>
        </w:rPr>
      </w:pPr>
    </w:p>
    <w:p w14:paraId="6E702661" w14:textId="00B834A9" w:rsidR="001F0D39" w:rsidRPr="001F0D39" w:rsidRDefault="001F0D39" w:rsidP="001F0D39">
      <w:pPr>
        <w:ind w:right="-46"/>
        <w:contextualSpacing/>
        <w:rPr>
          <w:rFonts w:ascii="Century Gothic" w:hAnsi="Century Gothic"/>
          <w:b/>
          <w:bCs/>
          <w:sz w:val="20"/>
          <w:szCs w:val="20"/>
        </w:rPr>
      </w:pPr>
      <w:r>
        <w:rPr>
          <w:rFonts w:ascii="Century Gothic" w:hAnsi="Century Gothic"/>
          <w:b/>
          <w:bCs/>
          <w:sz w:val="20"/>
          <w:szCs w:val="20"/>
        </w:rPr>
        <w:t>Supplementary Funding Proposal</w:t>
      </w:r>
    </w:p>
    <w:p w14:paraId="6DC4384F" w14:textId="3E2C9704" w:rsidR="00D6236B" w:rsidRDefault="00D6236B" w:rsidP="001F0D39">
      <w:pPr>
        <w:ind w:right="-46"/>
        <w:contextualSpacing/>
        <w:rPr>
          <w:rFonts w:ascii="Century Gothic" w:hAnsi="Century Gothic"/>
          <w:sz w:val="20"/>
          <w:szCs w:val="20"/>
        </w:rPr>
      </w:pPr>
      <w:r>
        <w:rPr>
          <w:rFonts w:ascii="Century Gothic" w:hAnsi="Century Gothic"/>
          <w:sz w:val="20"/>
          <w:szCs w:val="20"/>
        </w:rPr>
        <w:t>The proposal to offer 50% of funding to support the 2024 events is based on the following:</w:t>
      </w:r>
    </w:p>
    <w:p w14:paraId="0B56661A" w14:textId="0FF4744E" w:rsidR="00D6236B" w:rsidRDefault="00D6236B" w:rsidP="001F0D39">
      <w:pPr>
        <w:pStyle w:val="ListParagraph"/>
        <w:numPr>
          <w:ilvl w:val="0"/>
          <w:numId w:val="2"/>
        </w:numPr>
        <w:ind w:right="-46"/>
        <w:rPr>
          <w:rFonts w:ascii="Century Gothic" w:hAnsi="Century Gothic"/>
          <w:sz w:val="20"/>
          <w:szCs w:val="20"/>
        </w:rPr>
      </w:pPr>
      <w:r>
        <w:rPr>
          <w:rFonts w:ascii="Century Gothic" w:hAnsi="Century Gothic"/>
          <w:sz w:val="20"/>
          <w:szCs w:val="20"/>
        </w:rPr>
        <w:t>The events have been successfully operating for several years, bringing footfall and visitors to their own areas.</w:t>
      </w:r>
    </w:p>
    <w:p w14:paraId="554AD0BE" w14:textId="69DDA8CE" w:rsidR="00D6236B" w:rsidRDefault="00D6236B" w:rsidP="001F0D39">
      <w:pPr>
        <w:pStyle w:val="ListParagraph"/>
        <w:numPr>
          <w:ilvl w:val="0"/>
          <w:numId w:val="2"/>
        </w:numPr>
        <w:ind w:right="-46"/>
        <w:rPr>
          <w:rFonts w:ascii="Century Gothic" w:hAnsi="Century Gothic"/>
          <w:sz w:val="20"/>
          <w:szCs w:val="20"/>
        </w:rPr>
      </w:pPr>
      <w:r>
        <w:rPr>
          <w:rFonts w:ascii="Century Gothic" w:hAnsi="Century Gothic"/>
          <w:sz w:val="20"/>
          <w:szCs w:val="20"/>
        </w:rPr>
        <w:t>They are well established in the local community and have significant community support.</w:t>
      </w:r>
    </w:p>
    <w:p w14:paraId="17FB69E3" w14:textId="4E5B8005" w:rsidR="00D6236B" w:rsidRDefault="001F0D39" w:rsidP="001F0D39">
      <w:pPr>
        <w:pStyle w:val="ListParagraph"/>
        <w:numPr>
          <w:ilvl w:val="0"/>
          <w:numId w:val="2"/>
        </w:numPr>
        <w:ind w:right="-46"/>
        <w:rPr>
          <w:rFonts w:ascii="Century Gothic" w:hAnsi="Century Gothic"/>
          <w:sz w:val="20"/>
          <w:szCs w:val="20"/>
        </w:rPr>
      </w:pPr>
      <w:r>
        <w:rPr>
          <w:rFonts w:ascii="Century Gothic" w:hAnsi="Century Gothic"/>
          <w:sz w:val="20"/>
          <w:szCs w:val="20"/>
        </w:rPr>
        <w:t>They are a key part of the annual programme of events in their areas.</w:t>
      </w:r>
    </w:p>
    <w:p w14:paraId="58B5F050" w14:textId="4BD0523C" w:rsidR="001F0D39" w:rsidRPr="00D6236B" w:rsidRDefault="001F0D39" w:rsidP="001F0D39">
      <w:pPr>
        <w:pStyle w:val="ListParagraph"/>
        <w:numPr>
          <w:ilvl w:val="0"/>
          <w:numId w:val="2"/>
        </w:numPr>
        <w:ind w:right="-46"/>
        <w:rPr>
          <w:rFonts w:ascii="Century Gothic" w:hAnsi="Century Gothic"/>
          <w:sz w:val="20"/>
          <w:szCs w:val="20"/>
        </w:rPr>
      </w:pPr>
      <w:r>
        <w:rPr>
          <w:rFonts w:ascii="Century Gothic" w:hAnsi="Century Gothic"/>
          <w:sz w:val="20"/>
          <w:szCs w:val="20"/>
        </w:rPr>
        <w:t>In the absence of Council support, these events will not be able to proceed or offer a full programme of events.</w:t>
      </w:r>
    </w:p>
    <w:p w14:paraId="7FE8C6F9" w14:textId="77777777" w:rsidR="002579CF" w:rsidRPr="008B1EA3" w:rsidRDefault="002579CF" w:rsidP="001F0D39">
      <w:pPr>
        <w:ind w:right="-46"/>
        <w:contextualSpacing/>
        <w:rPr>
          <w:rFonts w:ascii="Century Gothic" w:hAnsi="Century Gothic"/>
          <w:sz w:val="20"/>
          <w:szCs w:val="20"/>
        </w:rPr>
      </w:pPr>
    </w:p>
    <w:tbl>
      <w:tblPr>
        <w:tblStyle w:val="TableGrid"/>
        <w:tblW w:w="0" w:type="auto"/>
        <w:tblLook w:val="04A0" w:firstRow="1" w:lastRow="0" w:firstColumn="1" w:lastColumn="0" w:noHBand="0" w:noVBand="1"/>
      </w:tblPr>
      <w:tblGrid>
        <w:gridCol w:w="2830"/>
        <w:gridCol w:w="2268"/>
        <w:gridCol w:w="1954"/>
        <w:gridCol w:w="1954"/>
      </w:tblGrid>
      <w:tr w:rsidR="008B1EA3" w:rsidRPr="008B1EA3" w14:paraId="1346A103" w14:textId="51A20C86" w:rsidTr="008B1EA3">
        <w:tc>
          <w:tcPr>
            <w:tcW w:w="2830" w:type="dxa"/>
          </w:tcPr>
          <w:p w14:paraId="620A6CC7" w14:textId="0187D75F" w:rsidR="008B1EA3" w:rsidRPr="008B1EA3" w:rsidRDefault="008B1EA3" w:rsidP="001F0D39">
            <w:pPr>
              <w:ind w:right="-46"/>
              <w:contextualSpacing/>
              <w:rPr>
                <w:rFonts w:ascii="Century Gothic" w:hAnsi="Century Gothic" w:cs="Calibri"/>
                <w:b/>
                <w:bCs/>
                <w:sz w:val="20"/>
                <w:szCs w:val="20"/>
              </w:rPr>
            </w:pPr>
            <w:r w:rsidRPr="008B1EA3">
              <w:rPr>
                <w:rFonts w:ascii="Century Gothic" w:hAnsi="Century Gothic" w:cs="Calibri"/>
                <w:b/>
                <w:bCs/>
                <w:sz w:val="20"/>
                <w:szCs w:val="20"/>
              </w:rPr>
              <w:t>Festival</w:t>
            </w:r>
          </w:p>
        </w:tc>
        <w:tc>
          <w:tcPr>
            <w:tcW w:w="2268" w:type="dxa"/>
          </w:tcPr>
          <w:p w14:paraId="44FC0488" w14:textId="328762E2" w:rsidR="008B1EA3" w:rsidRPr="008B1EA3" w:rsidRDefault="008B1EA3" w:rsidP="001F0D39">
            <w:pPr>
              <w:ind w:right="-46"/>
              <w:contextualSpacing/>
              <w:rPr>
                <w:rFonts w:ascii="Century Gothic" w:hAnsi="Century Gothic" w:cs="Calibri"/>
                <w:b/>
                <w:bCs/>
                <w:sz w:val="20"/>
                <w:szCs w:val="20"/>
              </w:rPr>
            </w:pPr>
            <w:r w:rsidRPr="008B1EA3">
              <w:rPr>
                <w:rFonts w:ascii="Century Gothic" w:hAnsi="Century Gothic" w:cs="Calibri"/>
                <w:b/>
                <w:bCs/>
                <w:sz w:val="20"/>
                <w:szCs w:val="20"/>
              </w:rPr>
              <w:t>Municipal District</w:t>
            </w:r>
          </w:p>
        </w:tc>
        <w:tc>
          <w:tcPr>
            <w:tcW w:w="1954" w:type="dxa"/>
          </w:tcPr>
          <w:p w14:paraId="7E238E38" w14:textId="3D64091B" w:rsidR="008B1EA3" w:rsidRPr="008B1EA3" w:rsidRDefault="008B1EA3" w:rsidP="001F0D39">
            <w:pPr>
              <w:ind w:right="-46"/>
              <w:contextualSpacing/>
              <w:jc w:val="center"/>
              <w:rPr>
                <w:rFonts w:ascii="Century Gothic" w:hAnsi="Century Gothic" w:cs="Calibri"/>
                <w:b/>
                <w:bCs/>
                <w:sz w:val="20"/>
                <w:szCs w:val="20"/>
              </w:rPr>
            </w:pPr>
            <w:r w:rsidRPr="008B1EA3">
              <w:rPr>
                <w:rFonts w:ascii="Century Gothic" w:hAnsi="Century Gothic" w:cs="Calibri"/>
                <w:b/>
                <w:bCs/>
                <w:sz w:val="20"/>
                <w:szCs w:val="20"/>
              </w:rPr>
              <w:t xml:space="preserve">Allocation </w:t>
            </w:r>
            <w:r w:rsidRPr="008B1EA3">
              <w:rPr>
                <w:rFonts w:ascii="Century Gothic" w:hAnsi="Century Gothic" w:cs="Calibri"/>
                <w:b/>
                <w:bCs/>
                <w:sz w:val="20"/>
                <w:szCs w:val="20"/>
              </w:rPr>
              <w:t>2023</w:t>
            </w:r>
          </w:p>
        </w:tc>
        <w:tc>
          <w:tcPr>
            <w:tcW w:w="1954" w:type="dxa"/>
          </w:tcPr>
          <w:p w14:paraId="50C741AD" w14:textId="3E792FAE" w:rsidR="008B1EA3" w:rsidRPr="008B1EA3" w:rsidRDefault="008B1EA3" w:rsidP="001F0D39">
            <w:pPr>
              <w:ind w:right="-46"/>
              <w:contextualSpacing/>
              <w:jc w:val="center"/>
              <w:rPr>
                <w:rFonts w:ascii="Century Gothic" w:hAnsi="Century Gothic" w:cs="Calibri"/>
                <w:b/>
                <w:bCs/>
                <w:sz w:val="20"/>
                <w:szCs w:val="20"/>
              </w:rPr>
            </w:pPr>
            <w:r w:rsidRPr="008B1EA3">
              <w:rPr>
                <w:rFonts w:ascii="Century Gothic" w:hAnsi="Century Gothic" w:cs="Calibri"/>
                <w:b/>
                <w:bCs/>
                <w:sz w:val="20"/>
                <w:szCs w:val="20"/>
              </w:rPr>
              <w:t>Proposed Allocation 2024</w:t>
            </w:r>
          </w:p>
        </w:tc>
      </w:tr>
      <w:tr w:rsidR="008B1EA3" w:rsidRPr="008B1EA3" w14:paraId="73E63826" w14:textId="072F7141" w:rsidTr="008B1EA3">
        <w:tc>
          <w:tcPr>
            <w:tcW w:w="2830" w:type="dxa"/>
          </w:tcPr>
          <w:p w14:paraId="4866BE60" w14:textId="479A6EFF" w:rsidR="008B1EA3" w:rsidRPr="008B1EA3" w:rsidRDefault="008B1EA3" w:rsidP="001F0D39">
            <w:pPr>
              <w:ind w:right="-46"/>
              <w:contextualSpacing/>
              <w:rPr>
                <w:rFonts w:ascii="Century Gothic" w:hAnsi="Century Gothic" w:cs="Calibri"/>
                <w:sz w:val="20"/>
                <w:szCs w:val="20"/>
              </w:rPr>
            </w:pPr>
            <w:r w:rsidRPr="008B1EA3">
              <w:rPr>
                <w:rFonts w:ascii="Century Gothic" w:hAnsi="Century Gothic" w:cs="Calibri"/>
                <w:sz w:val="20"/>
                <w:szCs w:val="20"/>
              </w:rPr>
              <w:t>C</w:t>
            </w:r>
            <w:r w:rsidRPr="008B1EA3">
              <w:rPr>
                <w:rFonts w:ascii="Century Gothic" w:hAnsi="Century Gothic" w:cs="Calibri"/>
                <w:sz w:val="20"/>
                <w:szCs w:val="20"/>
              </w:rPr>
              <w:t xml:space="preserve">eltic Box Cup </w:t>
            </w:r>
          </w:p>
        </w:tc>
        <w:tc>
          <w:tcPr>
            <w:tcW w:w="2268" w:type="dxa"/>
          </w:tcPr>
          <w:p w14:paraId="28A242B7" w14:textId="1C225EF5" w:rsidR="008B1EA3" w:rsidRPr="008B1EA3" w:rsidRDefault="008B1EA3" w:rsidP="001F0D39">
            <w:pPr>
              <w:ind w:right="-46"/>
              <w:contextualSpacing/>
              <w:rPr>
                <w:rFonts w:ascii="Century Gothic" w:hAnsi="Century Gothic" w:cs="Calibri"/>
                <w:sz w:val="20"/>
                <w:szCs w:val="20"/>
              </w:rPr>
            </w:pPr>
            <w:r w:rsidRPr="008B1EA3">
              <w:rPr>
                <w:rFonts w:ascii="Century Gothic" w:hAnsi="Century Gothic" w:cs="Calibri"/>
                <w:sz w:val="20"/>
                <w:szCs w:val="20"/>
              </w:rPr>
              <w:t>Dungarvan/Lismore</w:t>
            </w:r>
          </w:p>
        </w:tc>
        <w:tc>
          <w:tcPr>
            <w:tcW w:w="1954" w:type="dxa"/>
          </w:tcPr>
          <w:p w14:paraId="58045B43" w14:textId="2BDE70C6" w:rsidR="008B1EA3" w:rsidRPr="008B1EA3" w:rsidRDefault="008B1EA3" w:rsidP="001F0D39">
            <w:pPr>
              <w:ind w:right="-46"/>
              <w:contextualSpacing/>
              <w:jc w:val="right"/>
              <w:rPr>
                <w:rFonts w:ascii="Century Gothic" w:hAnsi="Century Gothic" w:cs="Calibri"/>
                <w:sz w:val="20"/>
                <w:szCs w:val="20"/>
              </w:rPr>
            </w:pPr>
            <w:r w:rsidRPr="008B1EA3">
              <w:rPr>
                <w:rFonts w:ascii="Century Gothic" w:hAnsi="Century Gothic" w:cs="Calibri"/>
                <w:sz w:val="20"/>
                <w:szCs w:val="20"/>
              </w:rPr>
              <w:t>€10,000</w:t>
            </w:r>
          </w:p>
        </w:tc>
        <w:tc>
          <w:tcPr>
            <w:tcW w:w="1954" w:type="dxa"/>
          </w:tcPr>
          <w:p w14:paraId="42187134" w14:textId="2E8B8D9C" w:rsidR="008B1EA3" w:rsidRPr="008B1EA3" w:rsidRDefault="008B1EA3" w:rsidP="001F0D39">
            <w:pPr>
              <w:ind w:right="-46"/>
              <w:contextualSpacing/>
              <w:jc w:val="right"/>
              <w:rPr>
                <w:rFonts w:ascii="Century Gothic" w:hAnsi="Century Gothic" w:cs="Calibri"/>
                <w:sz w:val="20"/>
                <w:szCs w:val="20"/>
              </w:rPr>
            </w:pPr>
            <w:r w:rsidRPr="008B1EA3">
              <w:rPr>
                <w:rFonts w:ascii="Century Gothic" w:hAnsi="Century Gothic" w:cs="Calibri"/>
                <w:sz w:val="20"/>
                <w:szCs w:val="20"/>
              </w:rPr>
              <w:t>€5,000</w:t>
            </w:r>
          </w:p>
        </w:tc>
      </w:tr>
      <w:tr w:rsidR="008B1EA3" w:rsidRPr="008B1EA3" w14:paraId="61C1594E" w14:textId="3EBBA046" w:rsidTr="008B1EA3">
        <w:tc>
          <w:tcPr>
            <w:tcW w:w="2830" w:type="dxa"/>
          </w:tcPr>
          <w:p w14:paraId="179BAE22" w14:textId="4F0E09FE" w:rsidR="008B1EA3" w:rsidRPr="008B1EA3" w:rsidRDefault="008B1EA3" w:rsidP="001F0D39">
            <w:pPr>
              <w:ind w:right="-46"/>
              <w:contextualSpacing/>
              <w:rPr>
                <w:rFonts w:ascii="Century Gothic" w:hAnsi="Century Gothic" w:cstheme="minorHAnsi"/>
                <w:sz w:val="20"/>
                <w:szCs w:val="20"/>
              </w:rPr>
            </w:pPr>
            <w:r w:rsidRPr="008B1EA3">
              <w:rPr>
                <w:rFonts w:ascii="Century Gothic" w:hAnsi="Century Gothic" w:cs="Calibri"/>
                <w:sz w:val="20"/>
                <w:szCs w:val="20"/>
              </w:rPr>
              <w:t xml:space="preserve">Vitamin Sea Festival </w:t>
            </w:r>
          </w:p>
        </w:tc>
        <w:tc>
          <w:tcPr>
            <w:tcW w:w="2268" w:type="dxa"/>
          </w:tcPr>
          <w:p w14:paraId="4A74111D" w14:textId="5CAAB659" w:rsidR="008B1EA3" w:rsidRPr="008B1EA3" w:rsidRDefault="008B1EA3" w:rsidP="001F0D39">
            <w:pPr>
              <w:ind w:right="-46"/>
              <w:contextualSpacing/>
              <w:rPr>
                <w:rFonts w:ascii="Century Gothic" w:hAnsi="Century Gothic" w:cstheme="minorHAnsi"/>
                <w:sz w:val="20"/>
                <w:szCs w:val="20"/>
              </w:rPr>
            </w:pPr>
            <w:r w:rsidRPr="008B1EA3">
              <w:rPr>
                <w:rFonts w:ascii="Century Gothic" w:hAnsi="Century Gothic" w:cs="Calibri"/>
                <w:sz w:val="20"/>
                <w:szCs w:val="20"/>
              </w:rPr>
              <w:t>Metropolitan</w:t>
            </w:r>
          </w:p>
        </w:tc>
        <w:tc>
          <w:tcPr>
            <w:tcW w:w="1954" w:type="dxa"/>
          </w:tcPr>
          <w:p w14:paraId="105E174F" w14:textId="44CD7B73" w:rsidR="008B1EA3" w:rsidRPr="008B1EA3" w:rsidRDefault="008B1EA3" w:rsidP="001F0D39">
            <w:pPr>
              <w:ind w:right="-46"/>
              <w:contextualSpacing/>
              <w:jc w:val="right"/>
              <w:rPr>
                <w:rFonts w:ascii="Century Gothic" w:hAnsi="Century Gothic" w:cstheme="minorHAnsi"/>
                <w:sz w:val="20"/>
                <w:szCs w:val="20"/>
              </w:rPr>
            </w:pPr>
            <w:r w:rsidRPr="008B1EA3">
              <w:rPr>
                <w:rFonts w:ascii="Century Gothic" w:hAnsi="Century Gothic" w:cstheme="minorHAnsi"/>
                <w:sz w:val="20"/>
                <w:szCs w:val="20"/>
              </w:rPr>
              <w:t>€20,000</w:t>
            </w:r>
          </w:p>
        </w:tc>
        <w:tc>
          <w:tcPr>
            <w:tcW w:w="1954" w:type="dxa"/>
          </w:tcPr>
          <w:p w14:paraId="3F0062BD" w14:textId="728473D5" w:rsidR="008B1EA3" w:rsidRPr="008B1EA3" w:rsidRDefault="008B1EA3" w:rsidP="001F0D39">
            <w:pPr>
              <w:ind w:right="-46"/>
              <w:contextualSpacing/>
              <w:jc w:val="right"/>
              <w:rPr>
                <w:rFonts w:ascii="Century Gothic" w:hAnsi="Century Gothic" w:cstheme="minorHAnsi"/>
                <w:sz w:val="20"/>
                <w:szCs w:val="20"/>
              </w:rPr>
            </w:pPr>
            <w:r w:rsidRPr="008B1EA3">
              <w:rPr>
                <w:rFonts w:ascii="Century Gothic" w:hAnsi="Century Gothic" w:cstheme="minorHAnsi"/>
                <w:sz w:val="20"/>
                <w:szCs w:val="20"/>
              </w:rPr>
              <w:t>€10,000</w:t>
            </w:r>
          </w:p>
        </w:tc>
      </w:tr>
      <w:tr w:rsidR="008B1EA3" w:rsidRPr="008B1EA3" w14:paraId="1132F01B" w14:textId="0CD8C72D" w:rsidTr="008B1EA3">
        <w:trPr>
          <w:trHeight w:val="292"/>
        </w:trPr>
        <w:tc>
          <w:tcPr>
            <w:tcW w:w="2830" w:type="dxa"/>
          </w:tcPr>
          <w:p w14:paraId="5E406E73" w14:textId="49F435C9" w:rsidR="008B1EA3" w:rsidRPr="008B1EA3" w:rsidRDefault="008B1EA3" w:rsidP="001F0D39">
            <w:pPr>
              <w:ind w:right="-46"/>
              <w:contextualSpacing/>
              <w:rPr>
                <w:rFonts w:ascii="Century Gothic" w:hAnsi="Century Gothic" w:cs="Calibri"/>
                <w:sz w:val="20"/>
                <w:szCs w:val="20"/>
              </w:rPr>
            </w:pPr>
            <w:r w:rsidRPr="008B1EA3">
              <w:rPr>
                <w:rFonts w:ascii="Century Gothic" w:hAnsi="Century Gothic" w:cs="Calibri"/>
                <w:sz w:val="20"/>
                <w:szCs w:val="20"/>
              </w:rPr>
              <w:t xml:space="preserve">Tramore Christmas Festival </w:t>
            </w:r>
          </w:p>
        </w:tc>
        <w:tc>
          <w:tcPr>
            <w:tcW w:w="2268" w:type="dxa"/>
          </w:tcPr>
          <w:p w14:paraId="68DA13B5" w14:textId="7EECC767" w:rsidR="008B1EA3" w:rsidRPr="008B1EA3" w:rsidRDefault="008B1EA3" w:rsidP="001F0D39">
            <w:pPr>
              <w:ind w:right="-46"/>
              <w:contextualSpacing/>
              <w:rPr>
                <w:rFonts w:ascii="Century Gothic" w:hAnsi="Century Gothic" w:cstheme="minorHAnsi"/>
                <w:sz w:val="20"/>
                <w:szCs w:val="20"/>
              </w:rPr>
            </w:pPr>
            <w:r w:rsidRPr="008B1EA3">
              <w:rPr>
                <w:rFonts w:ascii="Century Gothic" w:hAnsi="Century Gothic" w:cs="Calibri"/>
                <w:sz w:val="20"/>
                <w:szCs w:val="20"/>
              </w:rPr>
              <w:t>Metropolitan</w:t>
            </w:r>
          </w:p>
        </w:tc>
        <w:tc>
          <w:tcPr>
            <w:tcW w:w="1954" w:type="dxa"/>
          </w:tcPr>
          <w:p w14:paraId="10FBA508" w14:textId="29247A66" w:rsidR="008B1EA3" w:rsidRPr="008B1EA3" w:rsidRDefault="008B1EA3" w:rsidP="001F0D39">
            <w:pPr>
              <w:ind w:right="-46"/>
              <w:contextualSpacing/>
              <w:jc w:val="right"/>
              <w:rPr>
                <w:rFonts w:ascii="Century Gothic" w:hAnsi="Century Gothic" w:cstheme="minorHAnsi"/>
                <w:sz w:val="20"/>
                <w:szCs w:val="20"/>
              </w:rPr>
            </w:pPr>
            <w:r w:rsidRPr="008B1EA3">
              <w:rPr>
                <w:rFonts w:ascii="Century Gothic" w:hAnsi="Century Gothic" w:cstheme="minorHAnsi"/>
                <w:sz w:val="20"/>
                <w:szCs w:val="20"/>
              </w:rPr>
              <w:t>€15,916</w:t>
            </w:r>
          </w:p>
        </w:tc>
        <w:tc>
          <w:tcPr>
            <w:tcW w:w="1954" w:type="dxa"/>
          </w:tcPr>
          <w:p w14:paraId="735DCD01" w14:textId="22CA4654" w:rsidR="008B1EA3" w:rsidRPr="008B1EA3" w:rsidRDefault="008B1EA3" w:rsidP="001F0D39">
            <w:pPr>
              <w:ind w:right="-46"/>
              <w:contextualSpacing/>
              <w:jc w:val="right"/>
              <w:rPr>
                <w:rFonts w:ascii="Century Gothic" w:hAnsi="Century Gothic" w:cstheme="minorHAnsi"/>
                <w:sz w:val="20"/>
                <w:szCs w:val="20"/>
              </w:rPr>
            </w:pPr>
            <w:r w:rsidRPr="008B1EA3">
              <w:rPr>
                <w:rFonts w:ascii="Century Gothic" w:hAnsi="Century Gothic" w:cstheme="minorHAnsi"/>
                <w:sz w:val="20"/>
                <w:szCs w:val="20"/>
              </w:rPr>
              <w:t>€7,958</w:t>
            </w:r>
          </w:p>
        </w:tc>
      </w:tr>
      <w:tr w:rsidR="00D6236B" w:rsidRPr="008B1EA3" w14:paraId="27823B95" w14:textId="77777777" w:rsidTr="008B1EA3">
        <w:trPr>
          <w:trHeight w:val="292"/>
        </w:trPr>
        <w:tc>
          <w:tcPr>
            <w:tcW w:w="2830" w:type="dxa"/>
          </w:tcPr>
          <w:p w14:paraId="45538090" w14:textId="77777777" w:rsidR="00D6236B" w:rsidRPr="008B1EA3" w:rsidRDefault="00D6236B" w:rsidP="001F0D39">
            <w:pPr>
              <w:ind w:right="-46"/>
              <w:contextualSpacing/>
              <w:rPr>
                <w:rFonts w:ascii="Century Gothic" w:hAnsi="Century Gothic" w:cs="Calibri"/>
                <w:sz w:val="20"/>
                <w:szCs w:val="20"/>
              </w:rPr>
            </w:pPr>
          </w:p>
        </w:tc>
        <w:tc>
          <w:tcPr>
            <w:tcW w:w="2268" w:type="dxa"/>
          </w:tcPr>
          <w:p w14:paraId="2F77EE9A" w14:textId="77777777" w:rsidR="00D6236B" w:rsidRPr="008B1EA3" w:rsidRDefault="00D6236B" w:rsidP="001F0D39">
            <w:pPr>
              <w:ind w:right="-46"/>
              <w:contextualSpacing/>
              <w:rPr>
                <w:rFonts w:ascii="Century Gothic" w:hAnsi="Century Gothic" w:cs="Calibri"/>
                <w:sz w:val="20"/>
                <w:szCs w:val="20"/>
              </w:rPr>
            </w:pPr>
          </w:p>
        </w:tc>
        <w:tc>
          <w:tcPr>
            <w:tcW w:w="1954" w:type="dxa"/>
          </w:tcPr>
          <w:p w14:paraId="27095F11" w14:textId="78563C59" w:rsidR="00D6236B" w:rsidRPr="00FE0D6C" w:rsidRDefault="00FE0D6C" w:rsidP="001F0D39">
            <w:pPr>
              <w:ind w:right="-46"/>
              <w:contextualSpacing/>
              <w:jc w:val="right"/>
              <w:rPr>
                <w:rFonts w:ascii="Century Gothic" w:hAnsi="Century Gothic" w:cstheme="minorHAnsi"/>
                <w:b/>
                <w:bCs/>
                <w:sz w:val="20"/>
                <w:szCs w:val="20"/>
              </w:rPr>
            </w:pPr>
            <w:r w:rsidRPr="00FE0D6C">
              <w:rPr>
                <w:rFonts w:ascii="Century Gothic" w:hAnsi="Century Gothic" w:cstheme="minorHAnsi"/>
                <w:b/>
                <w:bCs/>
                <w:sz w:val="20"/>
                <w:szCs w:val="20"/>
              </w:rPr>
              <w:t>Total</w:t>
            </w:r>
          </w:p>
        </w:tc>
        <w:tc>
          <w:tcPr>
            <w:tcW w:w="1954" w:type="dxa"/>
          </w:tcPr>
          <w:p w14:paraId="2D90CFD7" w14:textId="4BFEE571" w:rsidR="00D6236B" w:rsidRPr="00FE0D6C" w:rsidRDefault="00D6236B" w:rsidP="001F0D39">
            <w:pPr>
              <w:ind w:right="-46"/>
              <w:contextualSpacing/>
              <w:jc w:val="right"/>
              <w:rPr>
                <w:rFonts w:ascii="Century Gothic" w:hAnsi="Century Gothic" w:cstheme="minorHAnsi"/>
                <w:b/>
                <w:bCs/>
                <w:sz w:val="20"/>
                <w:szCs w:val="20"/>
              </w:rPr>
            </w:pPr>
            <w:r w:rsidRPr="00FE0D6C">
              <w:rPr>
                <w:rFonts w:ascii="Century Gothic" w:hAnsi="Century Gothic" w:cstheme="minorHAnsi"/>
                <w:b/>
                <w:bCs/>
                <w:sz w:val="20"/>
                <w:szCs w:val="20"/>
              </w:rPr>
              <w:fldChar w:fldCharType="begin"/>
            </w:r>
            <w:r w:rsidRPr="00FE0D6C">
              <w:rPr>
                <w:rFonts w:ascii="Century Gothic" w:hAnsi="Century Gothic" w:cstheme="minorHAnsi"/>
                <w:b/>
                <w:bCs/>
                <w:sz w:val="20"/>
                <w:szCs w:val="20"/>
              </w:rPr>
              <w:instrText xml:space="preserve"> =SUM(ABOVE) </w:instrText>
            </w:r>
            <w:r w:rsidRPr="00FE0D6C">
              <w:rPr>
                <w:rFonts w:ascii="Century Gothic" w:hAnsi="Century Gothic" w:cstheme="minorHAnsi"/>
                <w:b/>
                <w:bCs/>
                <w:sz w:val="20"/>
                <w:szCs w:val="20"/>
              </w:rPr>
              <w:fldChar w:fldCharType="separate"/>
            </w:r>
            <w:r w:rsidRPr="00FE0D6C">
              <w:rPr>
                <w:rFonts w:ascii="Century Gothic" w:hAnsi="Century Gothic" w:cstheme="minorHAnsi"/>
                <w:b/>
                <w:bCs/>
                <w:noProof/>
                <w:sz w:val="20"/>
                <w:szCs w:val="20"/>
              </w:rPr>
              <w:t>€22,958.00</w:t>
            </w:r>
            <w:r w:rsidRPr="00FE0D6C">
              <w:rPr>
                <w:rFonts w:ascii="Century Gothic" w:hAnsi="Century Gothic" w:cstheme="minorHAnsi"/>
                <w:b/>
                <w:bCs/>
                <w:sz w:val="20"/>
                <w:szCs w:val="20"/>
              </w:rPr>
              <w:fldChar w:fldCharType="end"/>
            </w:r>
          </w:p>
        </w:tc>
      </w:tr>
    </w:tbl>
    <w:p w14:paraId="704249D4" w14:textId="77777777" w:rsidR="00D6236B" w:rsidRDefault="00D6236B" w:rsidP="001F0D39">
      <w:pPr>
        <w:ind w:right="-46"/>
        <w:contextualSpacing/>
        <w:rPr>
          <w:rFonts w:ascii="Century Gothic" w:hAnsi="Century Gothic" w:cstheme="minorHAnsi"/>
          <w:sz w:val="20"/>
          <w:szCs w:val="20"/>
        </w:rPr>
      </w:pPr>
    </w:p>
    <w:p w14:paraId="7726A759" w14:textId="42E73692" w:rsidR="001F0D39" w:rsidRDefault="001F0D39" w:rsidP="001F0D39">
      <w:pPr>
        <w:ind w:right="-46"/>
        <w:contextualSpacing/>
        <w:rPr>
          <w:rFonts w:ascii="Century Gothic" w:hAnsi="Century Gothic" w:cstheme="minorHAnsi"/>
          <w:sz w:val="20"/>
          <w:szCs w:val="20"/>
        </w:rPr>
      </w:pPr>
      <w:r>
        <w:rPr>
          <w:rFonts w:ascii="Century Gothic" w:hAnsi="Century Gothic" w:cstheme="minorHAnsi"/>
          <w:sz w:val="20"/>
          <w:szCs w:val="20"/>
        </w:rPr>
        <w:t>As the Festival &amp; Events Budget has been fully allocated, the supplementary funding for these events will be sourced elsewhere</w:t>
      </w:r>
      <w:r w:rsidR="00FE0D6C">
        <w:rPr>
          <w:rFonts w:ascii="Century Gothic" w:hAnsi="Century Gothic" w:cstheme="minorHAnsi"/>
          <w:sz w:val="20"/>
          <w:szCs w:val="20"/>
        </w:rPr>
        <w:t xml:space="preserve"> within Council funding</w:t>
      </w:r>
      <w:r>
        <w:rPr>
          <w:rFonts w:ascii="Century Gothic" w:hAnsi="Century Gothic" w:cstheme="minorHAnsi"/>
          <w:sz w:val="20"/>
          <w:szCs w:val="20"/>
        </w:rPr>
        <w:t>.</w:t>
      </w:r>
    </w:p>
    <w:p w14:paraId="16DBE386" w14:textId="77777777" w:rsidR="001F0D39" w:rsidRDefault="001F0D39" w:rsidP="001F0D39">
      <w:pPr>
        <w:ind w:right="-46"/>
        <w:contextualSpacing/>
        <w:rPr>
          <w:rFonts w:ascii="Century Gothic" w:hAnsi="Century Gothic" w:cstheme="minorHAnsi"/>
          <w:sz w:val="20"/>
          <w:szCs w:val="20"/>
        </w:rPr>
      </w:pPr>
    </w:p>
    <w:p w14:paraId="687848B1" w14:textId="46F672CE" w:rsidR="001F0D39" w:rsidRPr="001F0D39" w:rsidRDefault="001F0D39" w:rsidP="001F0D39">
      <w:pPr>
        <w:ind w:right="-46"/>
        <w:contextualSpacing/>
        <w:rPr>
          <w:rFonts w:ascii="Century Gothic" w:hAnsi="Century Gothic" w:cstheme="minorHAnsi"/>
          <w:b/>
          <w:bCs/>
          <w:sz w:val="20"/>
          <w:szCs w:val="20"/>
        </w:rPr>
      </w:pPr>
      <w:r w:rsidRPr="001F0D39">
        <w:rPr>
          <w:rFonts w:ascii="Century Gothic" w:hAnsi="Century Gothic" w:cstheme="minorHAnsi"/>
          <w:b/>
          <w:bCs/>
          <w:sz w:val="20"/>
          <w:szCs w:val="20"/>
        </w:rPr>
        <w:t>Next Steps:</w:t>
      </w:r>
    </w:p>
    <w:p w14:paraId="30D0E3B3" w14:textId="59FBA8BD" w:rsidR="001F0D39" w:rsidRDefault="001F0D39" w:rsidP="001F0D39">
      <w:pPr>
        <w:pStyle w:val="ListParagraph"/>
        <w:numPr>
          <w:ilvl w:val="0"/>
          <w:numId w:val="2"/>
        </w:numPr>
        <w:ind w:right="-46"/>
        <w:rPr>
          <w:rFonts w:ascii="Century Gothic" w:hAnsi="Century Gothic" w:cstheme="minorHAnsi"/>
          <w:sz w:val="20"/>
          <w:szCs w:val="20"/>
        </w:rPr>
      </w:pPr>
      <w:r>
        <w:rPr>
          <w:rFonts w:ascii="Century Gothic" w:hAnsi="Century Gothic" w:cstheme="minorHAnsi"/>
          <w:sz w:val="20"/>
          <w:szCs w:val="20"/>
        </w:rPr>
        <w:t xml:space="preserve">If this proposal is approved by the Elected Members, the event organisers will be contacted with the offer of this </w:t>
      </w:r>
      <w:r w:rsidRPr="001F0D39">
        <w:rPr>
          <w:rFonts w:ascii="Century Gothic" w:hAnsi="Century Gothic" w:cstheme="minorHAnsi"/>
          <w:b/>
          <w:bCs/>
          <w:sz w:val="20"/>
          <w:szCs w:val="20"/>
        </w:rPr>
        <w:t>once off</w:t>
      </w:r>
      <w:r>
        <w:rPr>
          <w:rFonts w:ascii="Century Gothic" w:hAnsi="Century Gothic" w:cstheme="minorHAnsi"/>
          <w:sz w:val="20"/>
          <w:szCs w:val="20"/>
        </w:rPr>
        <w:t xml:space="preserve"> supplementary funding.</w:t>
      </w:r>
    </w:p>
    <w:p w14:paraId="60E830E7" w14:textId="7CA88D47" w:rsidR="001F0D39" w:rsidRDefault="001F0D39" w:rsidP="001F0D39">
      <w:pPr>
        <w:pStyle w:val="ListParagraph"/>
        <w:numPr>
          <w:ilvl w:val="0"/>
          <w:numId w:val="2"/>
        </w:numPr>
        <w:ind w:right="-46"/>
        <w:rPr>
          <w:rFonts w:ascii="Century Gothic" w:hAnsi="Century Gothic" w:cstheme="minorHAnsi"/>
          <w:sz w:val="20"/>
          <w:szCs w:val="20"/>
        </w:rPr>
      </w:pPr>
      <w:r>
        <w:rPr>
          <w:rFonts w:ascii="Century Gothic" w:hAnsi="Century Gothic" w:cstheme="minorHAnsi"/>
          <w:sz w:val="20"/>
          <w:szCs w:val="20"/>
        </w:rPr>
        <w:t>If they accept the offer, they will be subject to the same reporting requirements of those that applied online and will be required to complete a Post Event Evaluation Report, which is a requirement of all those in receipt of festival and event funding.</w:t>
      </w:r>
    </w:p>
    <w:p w14:paraId="76D8867C" w14:textId="57C92FBA" w:rsidR="001F0D39" w:rsidRPr="001F0D39" w:rsidRDefault="001F0D39" w:rsidP="001F0D39">
      <w:pPr>
        <w:pStyle w:val="ListParagraph"/>
        <w:numPr>
          <w:ilvl w:val="0"/>
          <w:numId w:val="2"/>
        </w:numPr>
        <w:ind w:right="-46"/>
        <w:rPr>
          <w:rFonts w:ascii="Century Gothic" w:hAnsi="Century Gothic" w:cstheme="minorHAnsi"/>
          <w:sz w:val="20"/>
          <w:szCs w:val="20"/>
        </w:rPr>
      </w:pPr>
      <w:r>
        <w:rPr>
          <w:rFonts w:ascii="Century Gothic" w:hAnsi="Century Gothic" w:cstheme="minorHAnsi"/>
          <w:sz w:val="20"/>
          <w:szCs w:val="20"/>
        </w:rPr>
        <w:t xml:space="preserve">The event organisers will be advised that </w:t>
      </w:r>
      <w:r w:rsidR="00FE0D6C">
        <w:rPr>
          <w:rFonts w:ascii="Century Gothic" w:hAnsi="Century Gothic" w:cstheme="minorHAnsi"/>
          <w:sz w:val="20"/>
          <w:szCs w:val="20"/>
        </w:rPr>
        <w:t xml:space="preserve">should they </w:t>
      </w:r>
      <w:r>
        <w:rPr>
          <w:rFonts w:ascii="Century Gothic" w:hAnsi="Century Gothic" w:cstheme="minorHAnsi"/>
          <w:sz w:val="20"/>
          <w:szCs w:val="20"/>
        </w:rPr>
        <w:t>fai</w:t>
      </w:r>
      <w:r w:rsidR="00FE0D6C">
        <w:rPr>
          <w:rFonts w:ascii="Century Gothic" w:hAnsi="Century Gothic" w:cstheme="minorHAnsi"/>
          <w:sz w:val="20"/>
          <w:szCs w:val="20"/>
        </w:rPr>
        <w:t>l</w:t>
      </w:r>
      <w:r>
        <w:rPr>
          <w:rFonts w:ascii="Century Gothic" w:hAnsi="Century Gothic" w:cstheme="minorHAnsi"/>
          <w:sz w:val="20"/>
          <w:szCs w:val="20"/>
        </w:rPr>
        <w:t xml:space="preserve"> to submit applications by future deadlines</w:t>
      </w:r>
      <w:r w:rsidR="00FE0D6C">
        <w:rPr>
          <w:rFonts w:ascii="Century Gothic" w:hAnsi="Century Gothic" w:cstheme="minorHAnsi"/>
          <w:sz w:val="20"/>
          <w:szCs w:val="20"/>
        </w:rPr>
        <w:t>, there will be no further opportunities to be considered for supplementary funding.  It is an issue for the event organisers to ensure they have proper mechanisms in place to meet application deadlines.</w:t>
      </w:r>
    </w:p>
    <w:sectPr w:rsidR="001F0D39" w:rsidRPr="001F0D39" w:rsidSect="00AA098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966F4"/>
    <w:multiLevelType w:val="hybridMultilevel"/>
    <w:tmpl w:val="D6421D80"/>
    <w:lvl w:ilvl="0" w:tplc="18090001">
      <w:start w:val="1"/>
      <w:numFmt w:val="bullet"/>
      <w:lvlText w:val=""/>
      <w:lvlJc w:val="left"/>
      <w:pPr>
        <w:ind w:left="-182" w:hanging="360"/>
      </w:pPr>
      <w:rPr>
        <w:rFonts w:ascii="Symbol" w:hAnsi="Symbol" w:hint="default"/>
      </w:rPr>
    </w:lvl>
    <w:lvl w:ilvl="1" w:tplc="18090003">
      <w:start w:val="1"/>
      <w:numFmt w:val="bullet"/>
      <w:lvlText w:val="o"/>
      <w:lvlJc w:val="left"/>
      <w:pPr>
        <w:ind w:left="538" w:hanging="360"/>
      </w:pPr>
      <w:rPr>
        <w:rFonts w:ascii="Courier New" w:hAnsi="Courier New" w:cs="Courier New" w:hint="default"/>
      </w:rPr>
    </w:lvl>
    <w:lvl w:ilvl="2" w:tplc="18090005">
      <w:start w:val="1"/>
      <w:numFmt w:val="bullet"/>
      <w:lvlText w:val=""/>
      <w:lvlJc w:val="left"/>
      <w:pPr>
        <w:ind w:left="1258" w:hanging="360"/>
      </w:pPr>
      <w:rPr>
        <w:rFonts w:ascii="Wingdings" w:hAnsi="Wingdings" w:hint="default"/>
      </w:rPr>
    </w:lvl>
    <w:lvl w:ilvl="3" w:tplc="18090001" w:tentative="1">
      <w:start w:val="1"/>
      <w:numFmt w:val="bullet"/>
      <w:lvlText w:val=""/>
      <w:lvlJc w:val="left"/>
      <w:pPr>
        <w:ind w:left="1978" w:hanging="360"/>
      </w:pPr>
      <w:rPr>
        <w:rFonts w:ascii="Symbol" w:hAnsi="Symbol" w:hint="default"/>
      </w:rPr>
    </w:lvl>
    <w:lvl w:ilvl="4" w:tplc="18090003" w:tentative="1">
      <w:start w:val="1"/>
      <w:numFmt w:val="bullet"/>
      <w:lvlText w:val="o"/>
      <w:lvlJc w:val="left"/>
      <w:pPr>
        <w:ind w:left="2698" w:hanging="360"/>
      </w:pPr>
      <w:rPr>
        <w:rFonts w:ascii="Courier New" w:hAnsi="Courier New" w:cs="Courier New" w:hint="default"/>
      </w:rPr>
    </w:lvl>
    <w:lvl w:ilvl="5" w:tplc="18090005" w:tentative="1">
      <w:start w:val="1"/>
      <w:numFmt w:val="bullet"/>
      <w:lvlText w:val=""/>
      <w:lvlJc w:val="left"/>
      <w:pPr>
        <w:ind w:left="3418" w:hanging="360"/>
      </w:pPr>
      <w:rPr>
        <w:rFonts w:ascii="Wingdings" w:hAnsi="Wingdings" w:hint="default"/>
      </w:rPr>
    </w:lvl>
    <w:lvl w:ilvl="6" w:tplc="18090001" w:tentative="1">
      <w:start w:val="1"/>
      <w:numFmt w:val="bullet"/>
      <w:lvlText w:val=""/>
      <w:lvlJc w:val="left"/>
      <w:pPr>
        <w:ind w:left="4138" w:hanging="360"/>
      </w:pPr>
      <w:rPr>
        <w:rFonts w:ascii="Symbol" w:hAnsi="Symbol" w:hint="default"/>
      </w:rPr>
    </w:lvl>
    <w:lvl w:ilvl="7" w:tplc="18090003" w:tentative="1">
      <w:start w:val="1"/>
      <w:numFmt w:val="bullet"/>
      <w:lvlText w:val="o"/>
      <w:lvlJc w:val="left"/>
      <w:pPr>
        <w:ind w:left="4858" w:hanging="360"/>
      </w:pPr>
      <w:rPr>
        <w:rFonts w:ascii="Courier New" w:hAnsi="Courier New" w:cs="Courier New" w:hint="default"/>
      </w:rPr>
    </w:lvl>
    <w:lvl w:ilvl="8" w:tplc="18090005" w:tentative="1">
      <w:start w:val="1"/>
      <w:numFmt w:val="bullet"/>
      <w:lvlText w:val=""/>
      <w:lvlJc w:val="left"/>
      <w:pPr>
        <w:ind w:left="5578" w:hanging="360"/>
      </w:pPr>
      <w:rPr>
        <w:rFonts w:ascii="Wingdings" w:hAnsi="Wingdings" w:hint="default"/>
      </w:rPr>
    </w:lvl>
  </w:abstractNum>
  <w:abstractNum w:abstractNumId="1" w15:restartNumberingAfterBreak="0">
    <w:nsid w:val="44B04564"/>
    <w:multiLevelType w:val="hybridMultilevel"/>
    <w:tmpl w:val="C65EB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066369"/>
    <w:multiLevelType w:val="hybridMultilevel"/>
    <w:tmpl w:val="156074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9853785">
    <w:abstractNumId w:val="0"/>
  </w:num>
  <w:num w:numId="2" w16cid:durableId="817958864">
    <w:abstractNumId w:val="1"/>
  </w:num>
  <w:num w:numId="3" w16cid:durableId="1957128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59"/>
    <w:rsid w:val="001F0D39"/>
    <w:rsid w:val="002579CF"/>
    <w:rsid w:val="00601D17"/>
    <w:rsid w:val="007D6A3D"/>
    <w:rsid w:val="008B1EA3"/>
    <w:rsid w:val="008F5B54"/>
    <w:rsid w:val="00AA0986"/>
    <w:rsid w:val="00B16E59"/>
    <w:rsid w:val="00C23358"/>
    <w:rsid w:val="00D6236B"/>
    <w:rsid w:val="00FE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E62A"/>
  <w15:docId w15:val="{510F293E-BFBB-4A74-9197-68575A84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86"/>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7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econdev/FinanceFunding%20ECDFIN/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YNAFEP33AA7V-1600139771-180</_dlc_DocId>
    <_dlc_DocIdUrl xmlns="e208e405-7f5c-4092-9d00-ae49e9a9738c">
      <Url>http://intranet/corporate/councilmeet/plenary/_layouts/15/DocIdRedir.aspx?ID=YNAFEP33AA7V-1600139771-180</Url>
      <Description>YNAFEP33AA7V-1600139771-180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967299B1A9514B850495199BFB873D" ma:contentTypeVersion="1" ma:contentTypeDescription="Create a new document." ma:contentTypeScope="" ma:versionID="f22144c815e4546646be336ef712deb9">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3A2EA-DA1A-4DFD-8DCD-C4DAA274FC66}">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e208e405-7f5c-4092-9d00-ae49e9a9738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9B3BA1F-C6E8-4F3C-86E6-FD110C5ED108}">
  <ds:schemaRefs>
    <ds:schemaRef ds:uri="http://schemas.microsoft.com/sharepoint/v3/contenttype/forms"/>
  </ds:schemaRefs>
</ds:datastoreItem>
</file>

<file path=customXml/itemProps3.xml><?xml version="1.0" encoding="utf-8"?>
<ds:datastoreItem xmlns:ds="http://schemas.openxmlformats.org/officeDocument/2006/customXml" ds:itemID="{BA2E086E-AC90-4A69-8F9D-AF85CEA0C4A5}">
  <ds:schemaRefs>
    <ds:schemaRef ds:uri="http://schemas.microsoft.com/sharepoint/events"/>
  </ds:schemaRefs>
</ds:datastoreItem>
</file>

<file path=customXml/itemProps4.xml><?xml version="1.0" encoding="utf-8"?>
<ds:datastoreItem xmlns:ds="http://schemas.openxmlformats.org/officeDocument/2006/customXml" ds:itemID="{553B855A-21F5-41A5-A2F4-3F58E14C8CAC}"/>
</file>

<file path=docProps/app.xml><?xml version="1.0" encoding="utf-8"?>
<Properties xmlns="http://schemas.openxmlformats.org/officeDocument/2006/extended-properties" xmlns:vt="http://schemas.openxmlformats.org/officeDocument/2006/docPropsVTypes">
  <Template>template</Template>
  <TotalTime>176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 Supplementary Festival Funding 2024</dc:title>
  <dc:subject/>
  <dc:creator>Lisa Grant</dc:creator>
  <cp:keywords/>
  <dc:description/>
  <cp:lastModifiedBy>Lisa Grant</cp:lastModifiedBy>
  <cp:revision>3</cp:revision>
  <dcterms:created xsi:type="dcterms:W3CDTF">2024-04-15T12:51:00Z</dcterms:created>
  <dcterms:modified xsi:type="dcterms:W3CDTF">2024-04-16T10:16:00Z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0x0101007C967299B1A9514B850495199BFB873D</vt:lpwstr>
  </property>
  <property fmtid="{D5CDD505-2E9C-101B-9397-08002B2CF9AE}" pid="3" name="_dlc_DocIdItemGuid">
    <vt:lpwstr>15b8f3c2-e1af-478d-bf85-0dce188e7995</vt:lpwstr>
  </property>
  <property fmtid="{D5CDD505-2E9C-101B-9397-08002B2CF9AE}" pid="4" name="Order">
    <vt:r8>281500</vt:r8>
  </property>
</Properties>
</file>